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67E9A7" w14:textId="77777777" w:rsidR="00FC22C1" w:rsidRPr="00924590" w:rsidRDefault="00D90161" w:rsidP="0075328B">
      <w:pPr>
        <w:pStyle w:val="Nagwek1"/>
      </w:pPr>
      <w:r w:rsidRPr="00924590">
        <w:t>Produkt</w:t>
      </w: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9"/>
        <w:gridCol w:w="8057"/>
      </w:tblGrid>
      <w:tr w:rsidR="00FC22C1" w:rsidRPr="00924590" w14:paraId="41D541A6" w14:textId="77777777" w:rsidTr="0075328B">
        <w:tc>
          <w:tcPr>
            <w:tcW w:w="1151" w:type="pct"/>
            <w:tcBorders>
              <w:top w:val="nil"/>
              <w:left w:val="nil"/>
              <w:bottom w:val="nil"/>
              <w:right w:val="nil"/>
            </w:tcBorders>
          </w:tcPr>
          <w:p w14:paraId="707B7133" w14:textId="77777777" w:rsidR="00FC22C1" w:rsidRPr="00924590" w:rsidRDefault="00D90161" w:rsidP="0075328B">
            <w:pPr>
              <w:pStyle w:val="TABLE"/>
              <w:spacing w:before="240" w:after="240"/>
              <w:rPr>
                <w:sz w:val="20"/>
                <w:szCs w:val="28"/>
              </w:rPr>
            </w:pPr>
            <w:r w:rsidRPr="00924590">
              <w:rPr>
                <w:b/>
                <w:sz w:val="20"/>
              </w:rPr>
              <w:t>Nazwa produktu:</w:t>
            </w:r>
          </w:p>
        </w:tc>
        <w:tc>
          <w:tcPr>
            <w:tcW w:w="3849" w:type="pct"/>
            <w:tcBorders>
              <w:top w:val="nil"/>
              <w:left w:val="nil"/>
              <w:bottom w:val="nil"/>
              <w:right w:val="nil"/>
            </w:tcBorders>
          </w:tcPr>
          <w:p w14:paraId="4AB2A0F2" w14:textId="77777777" w:rsidR="00FC22C1" w:rsidRPr="00924590" w:rsidRDefault="00D90161" w:rsidP="0075328B">
            <w:pPr>
              <w:pStyle w:val="TABLE"/>
              <w:spacing w:before="240" w:after="240"/>
              <w:rPr>
                <w:sz w:val="20"/>
                <w:szCs w:val="28"/>
              </w:rPr>
            </w:pPr>
            <w:proofErr w:type="spellStart"/>
            <w:r w:rsidRPr="00924590">
              <w:rPr>
                <w:b/>
                <w:sz w:val="20"/>
              </w:rPr>
              <w:t>Invesco</w:t>
            </w:r>
            <w:proofErr w:type="spellEnd"/>
            <w:r w:rsidRPr="00924590">
              <w:rPr>
                <w:b/>
                <w:sz w:val="20"/>
              </w:rPr>
              <w:t xml:space="preserve"> </w:t>
            </w:r>
            <w:proofErr w:type="spellStart"/>
            <w:r w:rsidRPr="00924590">
              <w:rPr>
                <w:b/>
                <w:sz w:val="20"/>
              </w:rPr>
              <w:t>Physical</w:t>
            </w:r>
            <w:proofErr w:type="spellEnd"/>
            <w:r w:rsidRPr="00924590">
              <w:rPr>
                <w:b/>
                <w:sz w:val="20"/>
              </w:rPr>
              <w:t xml:space="preserve"> Gold EUR </w:t>
            </w:r>
            <w:proofErr w:type="spellStart"/>
            <w:r w:rsidRPr="00924590">
              <w:rPr>
                <w:b/>
                <w:sz w:val="20"/>
              </w:rPr>
              <w:t>Hedged</w:t>
            </w:r>
            <w:proofErr w:type="spellEnd"/>
            <w:r w:rsidRPr="00924590">
              <w:rPr>
                <w:b/>
                <w:sz w:val="20"/>
              </w:rPr>
              <w:t xml:space="preserve"> ETC (Instrumenty </w:t>
            </w:r>
            <w:proofErr w:type="spellStart"/>
            <w:r w:rsidRPr="00924590">
              <w:rPr>
                <w:b/>
                <w:sz w:val="20"/>
              </w:rPr>
              <w:t>Invesco</w:t>
            </w:r>
            <w:proofErr w:type="spellEnd"/>
            <w:r w:rsidRPr="00924590">
              <w:rPr>
                <w:b/>
                <w:sz w:val="20"/>
              </w:rPr>
              <w:t xml:space="preserve"> typu ETC z ekspozycją na złoto i zabezpieczeniem walutowym w EUR)</w:t>
            </w:r>
          </w:p>
        </w:tc>
      </w:tr>
      <w:tr w:rsidR="00FC22C1" w:rsidRPr="00924590" w14:paraId="552982EA" w14:textId="77777777" w:rsidTr="0075328B">
        <w:tc>
          <w:tcPr>
            <w:tcW w:w="1151" w:type="pct"/>
            <w:tcBorders>
              <w:top w:val="nil"/>
              <w:left w:val="nil"/>
              <w:bottom w:val="nil"/>
              <w:right w:val="nil"/>
            </w:tcBorders>
          </w:tcPr>
          <w:p w14:paraId="2D446010" w14:textId="77777777" w:rsidR="00FC22C1" w:rsidRPr="00924590" w:rsidRDefault="00D90161" w:rsidP="0075328B">
            <w:pPr>
              <w:pStyle w:val="TABLE"/>
              <w:spacing w:before="240" w:after="240"/>
              <w:rPr>
                <w:sz w:val="20"/>
                <w:szCs w:val="28"/>
              </w:rPr>
            </w:pPr>
            <w:r w:rsidRPr="00924590">
              <w:rPr>
                <w:b/>
                <w:sz w:val="20"/>
              </w:rPr>
              <w:t>ISIN:</w:t>
            </w:r>
          </w:p>
        </w:tc>
        <w:tc>
          <w:tcPr>
            <w:tcW w:w="3849" w:type="pct"/>
            <w:tcBorders>
              <w:top w:val="nil"/>
              <w:left w:val="nil"/>
              <w:bottom w:val="nil"/>
              <w:right w:val="nil"/>
            </w:tcBorders>
          </w:tcPr>
          <w:p w14:paraId="332608B9" w14:textId="77777777" w:rsidR="00FC22C1" w:rsidRPr="00924590" w:rsidRDefault="00D90161" w:rsidP="0075328B">
            <w:pPr>
              <w:pStyle w:val="TABLE"/>
              <w:spacing w:before="240" w:after="240"/>
              <w:rPr>
                <w:sz w:val="20"/>
                <w:szCs w:val="28"/>
              </w:rPr>
            </w:pPr>
            <w:r w:rsidRPr="00924590">
              <w:rPr>
                <w:sz w:val="20"/>
              </w:rPr>
              <w:t>XS2183935274</w:t>
            </w:r>
          </w:p>
        </w:tc>
      </w:tr>
      <w:tr w:rsidR="00FC22C1" w:rsidRPr="00924590" w14:paraId="3D4EE820" w14:textId="77777777" w:rsidTr="0075328B">
        <w:tc>
          <w:tcPr>
            <w:tcW w:w="1151" w:type="pct"/>
            <w:tcBorders>
              <w:top w:val="nil"/>
              <w:left w:val="nil"/>
              <w:bottom w:val="nil"/>
              <w:right w:val="nil"/>
            </w:tcBorders>
          </w:tcPr>
          <w:p w14:paraId="34901F74" w14:textId="77777777" w:rsidR="00FC22C1" w:rsidRPr="00924590" w:rsidRDefault="00D90161" w:rsidP="0075328B">
            <w:pPr>
              <w:pStyle w:val="TABLE"/>
              <w:spacing w:before="240" w:after="240"/>
              <w:rPr>
                <w:sz w:val="20"/>
                <w:szCs w:val="28"/>
              </w:rPr>
            </w:pPr>
            <w:r w:rsidRPr="00924590">
              <w:rPr>
                <w:b/>
                <w:sz w:val="20"/>
              </w:rPr>
              <w:t>Twórca:</w:t>
            </w:r>
          </w:p>
        </w:tc>
        <w:tc>
          <w:tcPr>
            <w:tcW w:w="3849" w:type="pct"/>
            <w:tcBorders>
              <w:top w:val="nil"/>
              <w:left w:val="nil"/>
              <w:bottom w:val="nil"/>
              <w:right w:val="nil"/>
            </w:tcBorders>
          </w:tcPr>
          <w:p w14:paraId="181373D1" w14:textId="77777777" w:rsidR="00FC22C1" w:rsidRPr="00924590" w:rsidRDefault="00D90161" w:rsidP="0075328B">
            <w:pPr>
              <w:pStyle w:val="TABLE"/>
              <w:spacing w:before="240" w:after="240"/>
              <w:rPr>
                <w:sz w:val="20"/>
                <w:szCs w:val="28"/>
              </w:rPr>
            </w:pPr>
            <w:proofErr w:type="spellStart"/>
            <w:r w:rsidRPr="00924590">
              <w:rPr>
                <w:sz w:val="20"/>
              </w:rPr>
              <w:t>Invesco</w:t>
            </w:r>
            <w:proofErr w:type="spellEnd"/>
            <w:r w:rsidRPr="00924590">
              <w:rPr>
                <w:sz w:val="20"/>
              </w:rPr>
              <w:t xml:space="preserve"> </w:t>
            </w:r>
            <w:proofErr w:type="spellStart"/>
            <w:r w:rsidRPr="00924590">
              <w:rPr>
                <w:sz w:val="20"/>
              </w:rPr>
              <w:t>Physical</w:t>
            </w:r>
            <w:proofErr w:type="spellEnd"/>
            <w:r w:rsidRPr="00924590">
              <w:rPr>
                <w:sz w:val="20"/>
              </w:rPr>
              <w:t xml:space="preserve"> </w:t>
            </w:r>
            <w:proofErr w:type="spellStart"/>
            <w:r w:rsidRPr="00924590">
              <w:rPr>
                <w:sz w:val="20"/>
              </w:rPr>
              <w:t>Markets</w:t>
            </w:r>
            <w:proofErr w:type="spellEnd"/>
            <w:r w:rsidRPr="00924590">
              <w:rPr>
                <w:sz w:val="20"/>
              </w:rPr>
              <w:t xml:space="preserve"> </w:t>
            </w:r>
            <w:proofErr w:type="spellStart"/>
            <w:r w:rsidRPr="00924590">
              <w:rPr>
                <w:sz w:val="20"/>
              </w:rPr>
              <w:t>plc</w:t>
            </w:r>
            <w:proofErr w:type="spellEnd"/>
          </w:p>
        </w:tc>
      </w:tr>
      <w:tr w:rsidR="00FC22C1" w:rsidRPr="00924590" w14:paraId="29989CA3" w14:textId="77777777" w:rsidTr="0075328B">
        <w:tc>
          <w:tcPr>
            <w:tcW w:w="1151" w:type="pct"/>
            <w:tcBorders>
              <w:top w:val="nil"/>
              <w:left w:val="nil"/>
              <w:right w:val="nil"/>
            </w:tcBorders>
          </w:tcPr>
          <w:p w14:paraId="172BED3E" w14:textId="77777777" w:rsidR="00FC22C1" w:rsidRPr="00924590" w:rsidRDefault="00D90161" w:rsidP="0075328B">
            <w:pPr>
              <w:pStyle w:val="TABLE"/>
              <w:spacing w:before="240" w:after="240"/>
              <w:rPr>
                <w:sz w:val="20"/>
                <w:szCs w:val="28"/>
              </w:rPr>
            </w:pPr>
            <w:r w:rsidRPr="00924590">
              <w:rPr>
                <w:b/>
                <w:sz w:val="20"/>
              </w:rPr>
              <w:t>Właściwy organ:</w:t>
            </w:r>
          </w:p>
        </w:tc>
        <w:tc>
          <w:tcPr>
            <w:tcW w:w="3849" w:type="pct"/>
            <w:tcBorders>
              <w:top w:val="nil"/>
              <w:left w:val="nil"/>
              <w:right w:val="nil"/>
            </w:tcBorders>
          </w:tcPr>
          <w:p w14:paraId="0B39204B" w14:textId="77777777" w:rsidR="00FC22C1" w:rsidRPr="00924590" w:rsidRDefault="00D90161" w:rsidP="0075328B">
            <w:pPr>
              <w:pStyle w:val="TABLE"/>
              <w:spacing w:before="240" w:after="240"/>
              <w:rPr>
                <w:sz w:val="20"/>
                <w:szCs w:val="28"/>
              </w:rPr>
            </w:pPr>
            <w:r w:rsidRPr="00924590">
              <w:rPr>
                <w:sz w:val="20"/>
              </w:rPr>
              <w:t>Bank Centralny Irlandii</w:t>
            </w:r>
          </w:p>
        </w:tc>
      </w:tr>
      <w:tr w:rsidR="00FC22C1" w:rsidRPr="00924590" w14:paraId="58196774" w14:textId="77777777" w:rsidTr="0075328B">
        <w:tc>
          <w:tcPr>
            <w:tcW w:w="1151" w:type="pct"/>
            <w:tcBorders>
              <w:top w:val="nil"/>
              <w:left w:val="nil"/>
              <w:right w:val="nil"/>
            </w:tcBorders>
          </w:tcPr>
          <w:p w14:paraId="5EBDE651" w14:textId="77777777" w:rsidR="00FC22C1" w:rsidRPr="00924590" w:rsidRDefault="00D90161" w:rsidP="0075328B">
            <w:pPr>
              <w:pStyle w:val="TABLE"/>
              <w:spacing w:before="240" w:after="240"/>
              <w:rPr>
                <w:sz w:val="20"/>
                <w:szCs w:val="28"/>
              </w:rPr>
            </w:pPr>
            <w:r w:rsidRPr="00924590">
              <w:rPr>
                <w:b/>
                <w:sz w:val="20"/>
              </w:rPr>
              <w:t>Dane kontaktowe:</w:t>
            </w:r>
          </w:p>
        </w:tc>
        <w:tc>
          <w:tcPr>
            <w:tcW w:w="3849" w:type="pct"/>
            <w:tcBorders>
              <w:top w:val="nil"/>
              <w:left w:val="nil"/>
              <w:right w:val="nil"/>
            </w:tcBorders>
          </w:tcPr>
          <w:p w14:paraId="363987BE" w14:textId="01EB14D4" w:rsidR="00FC22C1" w:rsidRPr="00924590" w:rsidRDefault="00D90161" w:rsidP="0075328B">
            <w:pPr>
              <w:pStyle w:val="TABLE"/>
              <w:spacing w:before="240" w:after="240"/>
              <w:rPr>
                <w:sz w:val="20"/>
                <w:szCs w:val="28"/>
              </w:rPr>
            </w:pPr>
            <w:r w:rsidRPr="00924590">
              <w:rPr>
                <w:sz w:val="20"/>
              </w:rPr>
              <w:t xml:space="preserve">e-mail: </w:t>
            </w:r>
            <w:hyperlink r:id="rId6">
              <w:r w:rsidRPr="00924590">
                <w:rPr>
                  <w:rStyle w:val="Hipercze"/>
                  <w:sz w:val="20"/>
                </w:rPr>
                <w:t>Invest@invesco.com</w:t>
              </w:r>
            </w:hyperlink>
            <w:r w:rsidRPr="00924590">
              <w:rPr>
                <w:sz w:val="20"/>
                <w:u w:val="single"/>
              </w:rPr>
              <w:t>,</w:t>
            </w:r>
            <w:r w:rsidRPr="00924590">
              <w:rPr>
                <w:sz w:val="20"/>
              </w:rPr>
              <w:t xml:space="preserve"> telefon: +44 020 3370 1100 lub witryna internetowa: </w:t>
            </w:r>
            <w:hyperlink r:id="rId7">
              <w:r w:rsidRPr="00924590">
                <w:rPr>
                  <w:rStyle w:val="Hipercze"/>
                  <w:sz w:val="20"/>
                </w:rPr>
                <w:t>https://etf.invesco.com</w:t>
              </w:r>
            </w:hyperlink>
          </w:p>
        </w:tc>
      </w:tr>
    </w:tbl>
    <w:p w14:paraId="38235A66" w14:textId="77777777" w:rsidR="00FC22C1" w:rsidRPr="00924590" w:rsidRDefault="00D90161" w:rsidP="0075328B">
      <w:pPr>
        <w:spacing w:after="0"/>
      </w:pPr>
      <w:r w:rsidRPr="00924590">
        <w:t>Niniejsze kluczowe informacje są aktualne na 1 stycznia 2023 r.</w:t>
      </w:r>
    </w:p>
    <w:p w14:paraId="3F4FD2DF" w14:textId="77777777" w:rsidR="00FC22C1" w:rsidRPr="00924590" w:rsidRDefault="00D90161">
      <w:pPr>
        <w:rPr>
          <w:b/>
        </w:rPr>
      </w:pPr>
      <w:r w:rsidRPr="00924590">
        <w:rPr>
          <w:b/>
          <w:u w:val="single"/>
        </w:rPr>
        <w:t>Uwaga</w:t>
      </w:r>
      <w:r w:rsidRPr="00924590">
        <w:rPr>
          <w:b/>
        </w:rPr>
        <w:t>: Zamierzasz kupić produkt, który nie jest prosty i może być trudny do zrozumienia.</w:t>
      </w:r>
    </w:p>
    <w:p w14:paraId="74598A5A" w14:textId="77777777" w:rsidR="00FC22C1" w:rsidRPr="00924590" w:rsidRDefault="00D90161" w:rsidP="0075328B">
      <w:pPr>
        <w:pStyle w:val="Nagwek1"/>
      </w:pPr>
      <w:bookmarkStart w:id="0" w:name="_GoBack"/>
      <w:bookmarkEnd w:id="0"/>
      <w:r w:rsidRPr="00924590">
        <w:t>Co to za produkt?</w:t>
      </w: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9"/>
        <w:gridCol w:w="8057"/>
      </w:tblGrid>
      <w:tr w:rsidR="00FC22C1" w:rsidRPr="00924590" w14:paraId="4358496F" w14:textId="77777777" w:rsidTr="0075328B">
        <w:tc>
          <w:tcPr>
            <w:tcW w:w="1151" w:type="pct"/>
            <w:tcBorders>
              <w:top w:val="nil"/>
              <w:left w:val="nil"/>
              <w:bottom w:val="nil"/>
              <w:right w:val="nil"/>
            </w:tcBorders>
          </w:tcPr>
          <w:p w14:paraId="2A1D9AA1" w14:textId="77777777" w:rsidR="00FC22C1" w:rsidRPr="00924590" w:rsidRDefault="00D90161" w:rsidP="0075328B">
            <w:pPr>
              <w:pStyle w:val="TABLE"/>
              <w:spacing w:before="240" w:after="240"/>
              <w:rPr>
                <w:sz w:val="20"/>
                <w:szCs w:val="28"/>
              </w:rPr>
            </w:pPr>
            <w:r w:rsidRPr="00924590">
              <w:rPr>
                <w:b/>
                <w:sz w:val="20"/>
              </w:rPr>
              <w:t>Rodzaj:</w:t>
            </w:r>
          </w:p>
        </w:tc>
        <w:tc>
          <w:tcPr>
            <w:tcW w:w="3849" w:type="pct"/>
            <w:tcBorders>
              <w:top w:val="nil"/>
              <w:left w:val="nil"/>
              <w:bottom w:val="nil"/>
              <w:right w:val="nil"/>
            </w:tcBorders>
          </w:tcPr>
          <w:p w14:paraId="4CC1D6BF" w14:textId="77777777" w:rsidR="00FC22C1" w:rsidRPr="00924590" w:rsidRDefault="00D90161" w:rsidP="0075328B">
            <w:pPr>
              <w:pStyle w:val="TABLE"/>
              <w:spacing w:before="240" w:after="240"/>
              <w:rPr>
                <w:sz w:val="20"/>
                <w:szCs w:val="28"/>
              </w:rPr>
            </w:pPr>
            <w:r w:rsidRPr="00924590">
              <w:rPr>
                <w:sz w:val="20"/>
              </w:rPr>
              <w:t>Produkt to instrument typu ETC z fizycznym pokryciem. Są to zabezpieczone certyfikaty z ograniczonym regresem.</w:t>
            </w:r>
          </w:p>
        </w:tc>
      </w:tr>
      <w:tr w:rsidR="00FC22C1" w:rsidRPr="00924590" w14:paraId="7B13301D" w14:textId="77777777" w:rsidTr="0075328B">
        <w:tc>
          <w:tcPr>
            <w:tcW w:w="1151" w:type="pct"/>
            <w:tcBorders>
              <w:top w:val="nil"/>
              <w:left w:val="nil"/>
              <w:bottom w:val="nil"/>
              <w:right w:val="nil"/>
            </w:tcBorders>
          </w:tcPr>
          <w:p w14:paraId="2D05FE51" w14:textId="77777777" w:rsidR="00FC22C1" w:rsidRPr="00924590" w:rsidRDefault="00D90161" w:rsidP="0075328B">
            <w:pPr>
              <w:pStyle w:val="TABLE"/>
              <w:spacing w:before="240" w:after="240"/>
              <w:rPr>
                <w:sz w:val="20"/>
                <w:szCs w:val="28"/>
              </w:rPr>
            </w:pPr>
            <w:r w:rsidRPr="00924590">
              <w:rPr>
                <w:b/>
                <w:sz w:val="20"/>
              </w:rPr>
              <w:t>Cele:</w:t>
            </w:r>
          </w:p>
        </w:tc>
        <w:tc>
          <w:tcPr>
            <w:tcW w:w="3849" w:type="pct"/>
            <w:tcBorders>
              <w:top w:val="nil"/>
              <w:left w:val="nil"/>
              <w:bottom w:val="nil"/>
              <w:right w:val="nil"/>
            </w:tcBorders>
          </w:tcPr>
          <w:p w14:paraId="59FA3ED8" w14:textId="77777777" w:rsidR="00FC22C1" w:rsidRPr="00924590" w:rsidRDefault="00D90161" w:rsidP="0075328B">
            <w:pPr>
              <w:pStyle w:val="TABLE"/>
              <w:spacing w:before="240" w:after="240"/>
              <w:rPr>
                <w:sz w:val="20"/>
                <w:szCs w:val="28"/>
              </w:rPr>
            </w:pPr>
            <w:r w:rsidRPr="00924590">
              <w:rPr>
                <w:sz w:val="20"/>
              </w:rPr>
              <w:t xml:space="preserve">Papiery wartościowe </w:t>
            </w:r>
            <w:proofErr w:type="spellStart"/>
            <w:r w:rsidRPr="00924590">
              <w:rPr>
                <w:sz w:val="20"/>
              </w:rPr>
              <w:t>Invesco</w:t>
            </w:r>
            <w:proofErr w:type="spellEnd"/>
            <w:r w:rsidRPr="00924590">
              <w:rPr>
                <w:sz w:val="20"/>
              </w:rPr>
              <w:t xml:space="preserve"> </w:t>
            </w:r>
            <w:proofErr w:type="spellStart"/>
            <w:r w:rsidRPr="00924590">
              <w:rPr>
                <w:sz w:val="20"/>
              </w:rPr>
              <w:t>Physical</w:t>
            </w:r>
            <w:proofErr w:type="spellEnd"/>
            <w:r w:rsidRPr="00924590">
              <w:rPr>
                <w:sz w:val="20"/>
              </w:rPr>
              <w:t xml:space="preserve"> Gold P-ETC są zaprojektowane, by dać inwestorom ekspozycję na cenę spot złota w formie certyfikatów zabezpieczonych złotem kruszcowym.</w:t>
            </w:r>
          </w:p>
          <w:p w14:paraId="7049C101" w14:textId="77777777" w:rsidR="00FC22C1" w:rsidRPr="00924590" w:rsidRDefault="00D90161" w:rsidP="0075328B">
            <w:pPr>
              <w:pStyle w:val="TABLE"/>
              <w:spacing w:before="240" w:after="240"/>
              <w:rPr>
                <w:sz w:val="20"/>
                <w:szCs w:val="28"/>
              </w:rPr>
            </w:pPr>
            <w:r w:rsidRPr="00924590">
              <w:rPr>
                <w:sz w:val="20"/>
              </w:rPr>
              <w:t>Produkt obejmuje zabezpieczenie walutowe, zmniejszające ekspozycję certyfikatów na wahania kursu EUR do USD, czyli waluty, w której zazwyczaj jest notowany bazowy metal szlachetny.</w:t>
            </w:r>
          </w:p>
          <w:p w14:paraId="587E29B7" w14:textId="77777777" w:rsidR="00FC22C1" w:rsidRPr="00924590" w:rsidRDefault="00D90161" w:rsidP="0075328B">
            <w:pPr>
              <w:pStyle w:val="TABLE"/>
              <w:spacing w:before="240" w:after="240"/>
              <w:rPr>
                <w:sz w:val="20"/>
                <w:szCs w:val="28"/>
              </w:rPr>
            </w:pPr>
            <w:r w:rsidRPr="00924590">
              <w:rPr>
                <w:sz w:val="20"/>
              </w:rPr>
              <w:t>Walutą bazową jest EUR.</w:t>
            </w:r>
          </w:p>
        </w:tc>
      </w:tr>
      <w:tr w:rsidR="00FC22C1" w:rsidRPr="00924590" w14:paraId="1714F0EC" w14:textId="77777777" w:rsidTr="0075328B">
        <w:tc>
          <w:tcPr>
            <w:tcW w:w="1151" w:type="pct"/>
            <w:tcBorders>
              <w:top w:val="nil"/>
              <w:left w:val="nil"/>
              <w:bottom w:val="nil"/>
              <w:right w:val="nil"/>
            </w:tcBorders>
          </w:tcPr>
          <w:p w14:paraId="2A29B230" w14:textId="77777777" w:rsidR="00FC22C1" w:rsidRPr="00924590" w:rsidRDefault="00D90161" w:rsidP="0075328B">
            <w:pPr>
              <w:pStyle w:val="TABLE"/>
              <w:spacing w:before="240" w:after="240"/>
              <w:rPr>
                <w:sz w:val="20"/>
                <w:szCs w:val="28"/>
              </w:rPr>
            </w:pPr>
            <w:r w:rsidRPr="00924590">
              <w:rPr>
                <w:b/>
                <w:sz w:val="20"/>
              </w:rPr>
              <w:t>Inwestor, z myślą o którym produkt został wprowadzony do obrotu:</w:t>
            </w:r>
          </w:p>
        </w:tc>
        <w:tc>
          <w:tcPr>
            <w:tcW w:w="3849" w:type="pct"/>
            <w:tcBorders>
              <w:top w:val="nil"/>
              <w:left w:val="nil"/>
              <w:bottom w:val="nil"/>
              <w:right w:val="nil"/>
            </w:tcBorders>
          </w:tcPr>
          <w:p w14:paraId="1CA59369" w14:textId="77777777" w:rsidR="00FC22C1" w:rsidRPr="00924590" w:rsidRDefault="00D90161" w:rsidP="0075328B">
            <w:pPr>
              <w:pStyle w:val="TABLE"/>
              <w:spacing w:before="240" w:after="240"/>
              <w:rPr>
                <w:sz w:val="20"/>
                <w:szCs w:val="28"/>
              </w:rPr>
            </w:pPr>
            <w:r w:rsidRPr="00924590">
              <w:rPr>
                <w:sz w:val="20"/>
              </w:rPr>
              <w:t xml:space="preserve">Produkt jest z myślą o inwestorach, którzy (i) posiadają wystarczającą wiedzę i doświadczenie, aby dokonać miarodajnej oceny zalet i ryzyka inwestycji w certyfikaty, (ii) są gotowi inwestować w perspektywie średnio- lub długoterminowej oraz (iii) posiadają zasoby finansowe pozwalające na poniesienie wszystkich </w:t>
            </w:r>
            <w:proofErr w:type="spellStart"/>
            <w:r w:rsidRPr="00924590">
              <w:rPr>
                <w:sz w:val="20"/>
              </w:rPr>
              <w:t>ryzyk</w:t>
            </w:r>
            <w:proofErr w:type="spellEnd"/>
            <w:r w:rsidRPr="00924590">
              <w:rPr>
                <w:sz w:val="20"/>
              </w:rPr>
              <w:t xml:space="preserve"> związanych z tym produktem, w tym ryzyka utraty kapitału początkowego.</w:t>
            </w:r>
          </w:p>
        </w:tc>
      </w:tr>
      <w:tr w:rsidR="00FC22C1" w:rsidRPr="00924590" w14:paraId="6FF09BE0" w14:textId="77777777" w:rsidTr="0075328B">
        <w:tc>
          <w:tcPr>
            <w:tcW w:w="1151" w:type="pct"/>
            <w:tcBorders>
              <w:top w:val="nil"/>
              <w:left w:val="nil"/>
              <w:bottom w:val="nil"/>
              <w:right w:val="nil"/>
            </w:tcBorders>
          </w:tcPr>
          <w:p w14:paraId="196B560B" w14:textId="77777777" w:rsidR="00FC22C1" w:rsidRPr="00924590" w:rsidRDefault="00D90161" w:rsidP="0075328B">
            <w:pPr>
              <w:pStyle w:val="TABLE"/>
              <w:spacing w:before="240" w:after="240"/>
              <w:rPr>
                <w:sz w:val="20"/>
                <w:szCs w:val="28"/>
              </w:rPr>
            </w:pPr>
            <w:r w:rsidRPr="00924590">
              <w:rPr>
                <w:b/>
                <w:sz w:val="20"/>
              </w:rPr>
              <w:t>Termin zapadalności:</w:t>
            </w:r>
          </w:p>
        </w:tc>
        <w:tc>
          <w:tcPr>
            <w:tcW w:w="3849" w:type="pct"/>
            <w:tcBorders>
              <w:top w:val="nil"/>
              <w:left w:val="nil"/>
              <w:bottom w:val="nil"/>
              <w:right w:val="nil"/>
            </w:tcBorders>
          </w:tcPr>
          <w:p w14:paraId="45D0A256" w14:textId="77777777" w:rsidR="00FC22C1" w:rsidRPr="00924590" w:rsidRDefault="00D90161" w:rsidP="0075328B">
            <w:pPr>
              <w:pStyle w:val="TABLE"/>
              <w:spacing w:before="240" w:after="240"/>
              <w:rPr>
                <w:sz w:val="20"/>
                <w:szCs w:val="28"/>
              </w:rPr>
            </w:pPr>
            <w:r w:rsidRPr="00924590">
              <w:rPr>
                <w:sz w:val="20"/>
              </w:rPr>
              <w:t>Ostateczny termin zapadalności produktu to 31 grudnia 2100 r. Emitent ma prawo do jego wypowiedzenia w ograniczonej liczbie przypadków, które zostały określone w prospekcie emisyjnym.</w:t>
            </w:r>
          </w:p>
        </w:tc>
      </w:tr>
    </w:tbl>
    <w:p w14:paraId="23DC87D8" w14:textId="77777777" w:rsidR="0075328B" w:rsidRPr="00924590" w:rsidRDefault="0075328B">
      <w:pPr>
        <w:spacing w:after="0"/>
      </w:pPr>
      <w:r w:rsidRPr="00924590">
        <w:br w:type="page"/>
      </w:r>
    </w:p>
    <w:p w14:paraId="55356883" w14:textId="77777777" w:rsidR="0075328B" w:rsidRPr="00924590" w:rsidRDefault="00D90161" w:rsidP="0075328B">
      <w:pPr>
        <w:pStyle w:val="Nagwek1"/>
        <w:sectPr w:rsidR="0075328B" w:rsidRPr="00924590" w:rsidSect="0075328B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720" w:right="720" w:bottom="720" w:left="720" w:header="708" w:footer="708" w:gutter="0"/>
          <w:cols w:space="708"/>
          <w:titlePg/>
          <w:docGrid w:linePitch="360"/>
        </w:sectPr>
      </w:pPr>
      <w:r w:rsidRPr="00924590">
        <w:lastRenderedPageBreak/>
        <w:t>Jakie są ryzyka i możliwe korzyści?</w:t>
      </w:r>
    </w:p>
    <w:p w14:paraId="3A6EA51C" w14:textId="77777777" w:rsidR="00FC22C1" w:rsidRPr="00924590" w:rsidRDefault="00D90161" w:rsidP="0075328B">
      <w:pPr>
        <w:ind w:left="284"/>
        <w:rPr>
          <w:sz w:val="20"/>
          <w:szCs w:val="28"/>
        </w:rPr>
      </w:pPr>
      <w:r w:rsidRPr="00924590">
        <w:rPr>
          <w:b/>
          <w:sz w:val="20"/>
        </w:rPr>
        <w:t>Wskaźnik ryzyka</w:t>
      </w:r>
    </w:p>
    <w:p w14:paraId="41C103C1" w14:textId="77777777" w:rsidR="00FC22C1" w:rsidRPr="00924590" w:rsidRDefault="00D90161" w:rsidP="0075328B">
      <w:pPr>
        <w:spacing w:after="0"/>
      </w:pPr>
      <w:r w:rsidRPr="00924590">
        <w:rPr>
          <w:noProof/>
          <w:lang w:eastAsia="pl-PL"/>
        </w:rPr>
        <w:drawing>
          <wp:inline distT="0" distB="0" distL="0" distR="0" wp14:anchorId="36463384" wp14:editId="3E33244C">
            <wp:extent cx="2959100" cy="498475"/>
            <wp:effectExtent l="0" t="0" r="0" b="0"/>
            <wp:docPr id="9595942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Bitmap Image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49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E9B6E9" w14:textId="798FBD4B" w:rsidR="00FC22C1" w:rsidRPr="00924590" w:rsidRDefault="00D90161" w:rsidP="0075328B">
      <w:pPr>
        <w:tabs>
          <w:tab w:val="right" w:pos="4678"/>
        </w:tabs>
      </w:pPr>
      <w:r w:rsidRPr="00924590">
        <w:rPr>
          <w:b/>
        </w:rPr>
        <w:t>Niższe ryzyko</w:t>
      </w:r>
      <w:r w:rsidRPr="00924590">
        <w:rPr>
          <w:b/>
        </w:rPr>
        <w:tab/>
        <w:t>Wyższe ryzyko</w:t>
      </w: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3531"/>
      </w:tblGrid>
      <w:tr w:rsidR="00FC22C1" w:rsidRPr="00924590" w14:paraId="0118BB72" w14:textId="77777777" w:rsidTr="0075328B">
        <w:tc>
          <w:tcPr>
            <w:tcW w:w="1433" w:type="pct"/>
            <w:tcBorders>
              <w:top w:val="nil"/>
              <w:left w:val="nil"/>
              <w:bottom w:val="nil"/>
              <w:right w:val="nil"/>
            </w:tcBorders>
          </w:tcPr>
          <w:p w14:paraId="331ACA5C" w14:textId="0C42168B" w:rsidR="00FC22C1" w:rsidRPr="00924590" w:rsidRDefault="0075328B">
            <w:pPr>
              <w:pStyle w:val="TABLE"/>
            </w:pPr>
            <w:r w:rsidRPr="00924590">
              <w:rPr>
                <w:noProof/>
                <w:lang w:eastAsia="pl-PL"/>
              </w:rPr>
              <w:drawing>
                <wp:inline distT="0" distB="0" distL="0" distR="0" wp14:anchorId="5E67848C" wp14:editId="4454D596">
                  <wp:extent cx="609600" cy="555625"/>
                  <wp:effectExtent l="0" t="0" r="0" b="0"/>
                  <wp:docPr id="165640286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 Bitmap Image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555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7" w:type="pct"/>
            <w:tcBorders>
              <w:top w:val="nil"/>
              <w:left w:val="nil"/>
              <w:bottom w:val="nil"/>
              <w:right w:val="nil"/>
            </w:tcBorders>
          </w:tcPr>
          <w:p w14:paraId="25D1EA5D" w14:textId="77777777" w:rsidR="00FC22C1" w:rsidRPr="00924590" w:rsidRDefault="00D90161" w:rsidP="0075328B">
            <w:pPr>
              <w:pStyle w:val="TABLE"/>
              <w:jc w:val="both"/>
            </w:pPr>
            <w:r w:rsidRPr="00924590">
              <w:t>Wskaźnik ryzyka zakłada posiadanie produktu przez 5 lat. Jeżeli inwestor spienięży inwestycję na wczesnym etapie, faktyczne ryzyko może znacznie odbiegać od powyższego, a kwota uzyskana z inwestycji może być niższa.</w:t>
            </w:r>
          </w:p>
        </w:tc>
      </w:tr>
    </w:tbl>
    <w:p w14:paraId="473A956E" w14:textId="77777777" w:rsidR="00FC22C1" w:rsidRPr="00924590" w:rsidRDefault="00D90161" w:rsidP="0075328B">
      <w:pPr>
        <w:spacing w:before="240" w:after="120"/>
        <w:jc w:val="both"/>
      </w:pPr>
      <w:r w:rsidRPr="00924590">
        <w:t>Ogólny wskaźnik ryzyka wskazuje poziom ryzyka związanego z produktem w porównaniu z innymi produktami. Pokazuje on prawdopodobieństwo utraty środków z tytułu produktu z uwagi na zachowanie rynku lub naszą niezdolność do dokonania wypłaty na rzecz inwestora.</w:t>
      </w:r>
    </w:p>
    <w:p w14:paraId="268A0E0F" w14:textId="5208693D" w:rsidR="00FC22C1" w:rsidRPr="00924590" w:rsidRDefault="00D90161" w:rsidP="0075328B">
      <w:pPr>
        <w:spacing w:after="120"/>
        <w:jc w:val="both"/>
      </w:pPr>
      <w:r w:rsidRPr="00924590">
        <w:t>Ryzyko związane z produktem określamy na 5 w skali 1–7, co oznacza średniowysoką klasę ryzyka. Potencjalne straty z tytułu przyszłych wyników są zatem średniowysokie, a niekorzystne warunki rynkowe prawdopodobnie wpłyną na zdolność uzyskania przez inwestora dodatniej stopy zwrotu z inwestycji.</w:t>
      </w:r>
    </w:p>
    <w:p w14:paraId="194A1CC9" w14:textId="77777777" w:rsidR="00FC22C1" w:rsidRPr="00924590" w:rsidRDefault="00D90161" w:rsidP="0075328B">
      <w:pPr>
        <w:spacing w:after="120"/>
        <w:jc w:val="both"/>
      </w:pPr>
      <w:r w:rsidRPr="00924590">
        <w:t>Jeżeli emitent nie będzie w stanie wypłacić wskazanego zwrotu z inwestycji, do spłaty inwestorów zostanie wykorzystane złoto. Inwestorom nie będą przysługiwały żadne roszczenia w stosunku do pozostałego majątku emitenta.</w:t>
      </w:r>
    </w:p>
    <w:p w14:paraId="4B3EFB7F" w14:textId="77777777" w:rsidR="00FC22C1" w:rsidRPr="00924590" w:rsidRDefault="00D90161" w:rsidP="0075328B">
      <w:pPr>
        <w:spacing w:after="120"/>
        <w:jc w:val="both"/>
      </w:pPr>
      <w:r w:rsidRPr="00924590">
        <w:t>Zabezpieczenie walutowe pomiędzy walutą, w której zazwyczaj notowany jest bazowy metal szlachetny, a walutą certyfikatów może nie wyeliminować w pełni wahań kursowych pomiędzy tymi dwiema walutami i może wpłynąć na wyniki certyfikatów.</w:t>
      </w:r>
    </w:p>
    <w:p w14:paraId="4A4324FB" w14:textId="77777777" w:rsidR="00FC22C1" w:rsidRPr="00924590" w:rsidRDefault="00D90161" w:rsidP="0075328B">
      <w:pPr>
        <w:spacing w:after="120"/>
        <w:jc w:val="both"/>
      </w:pPr>
      <w:r w:rsidRPr="00924590">
        <w:t xml:space="preserve">Informacje na temat wszelkich istotnych </w:t>
      </w:r>
      <w:proofErr w:type="spellStart"/>
      <w:r w:rsidRPr="00924590">
        <w:t>ryzyk</w:t>
      </w:r>
      <w:proofErr w:type="spellEnd"/>
      <w:r w:rsidRPr="00924590">
        <w:t xml:space="preserve"> znajdują się w prospekcie emisyjnym.</w:t>
      </w:r>
    </w:p>
    <w:p w14:paraId="0CEE95F7" w14:textId="77777777" w:rsidR="00FC22C1" w:rsidRPr="00924590" w:rsidRDefault="00D90161" w:rsidP="0075328B">
      <w:pPr>
        <w:spacing w:after="120"/>
        <w:jc w:val="both"/>
      </w:pPr>
      <w:r w:rsidRPr="00924590">
        <w:t>Produkt nie obejmuje ochrony przed zachowaniem rynku w przyszłości, możliwa jest więc utrata całości lub części inwestycji.</w:t>
      </w:r>
    </w:p>
    <w:p w14:paraId="6C2B29DF" w14:textId="77777777" w:rsidR="0075328B" w:rsidRPr="00924590" w:rsidRDefault="0075328B"/>
    <w:p w14:paraId="342C8DF6" w14:textId="77777777" w:rsidR="0075328B" w:rsidRPr="00924590" w:rsidRDefault="0075328B">
      <w:pPr>
        <w:sectPr w:rsidR="0075328B" w:rsidRPr="00924590" w:rsidSect="0075328B">
          <w:type w:val="continuous"/>
          <w:pgSz w:w="11906" w:h="16838"/>
          <w:pgMar w:top="720" w:right="720" w:bottom="720" w:left="720" w:header="708" w:footer="708" w:gutter="0"/>
          <w:cols w:num="2" w:space="567"/>
          <w:titlePg/>
          <w:docGrid w:linePitch="360"/>
        </w:sectPr>
      </w:pPr>
    </w:p>
    <w:p w14:paraId="37FBE3F9" w14:textId="77777777" w:rsidR="00FC22C1" w:rsidRPr="00924590" w:rsidRDefault="00D90161" w:rsidP="0075328B">
      <w:pPr>
        <w:pStyle w:val="Nagwek2"/>
      </w:pPr>
      <w:r w:rsidRPr="00924590">
        <w:t>Informacje o wynikach inwestycyjnych</w:t>
      </w:r>
    </w:p>
    <w:p w14:paraId="5565869F" w14:textId="77777777" w:rsidR="00FC22C1" w:rsidRPr="00924590" w:rsidRDefault="00D90161" w:rsidP="0075328B">
      <w:pPr>
        <w:jc w:val="both"/>
      </w:pPr>
      <w:r w:rsidRPr="00924590">
        <w:t>Zwrot inwestora zależy od zwrotu na certyfikatach. Ponieważ certyfikaty mają pełne pokrycie w fizycznym złocie, wyniki certyfikatów zależą od zmian ceny złota. Ponieważ złoto jest notowane w USD, na wyniki certyfikatów będą miały wpływ również wahania kursowe między USD a EUR. Instrument typu ETC wykorzystuje jednak mechanizm zabezpieczający zaprojektowany w celu zmniejszenia ekspozycji złota (a zatem certyfikatów) na wahania kursowe pomiędzy USD a EUR.</w:t>
      </w:r>
    </w:p>
    <w:p w14:paraId="32EA6053" w14:textId="77777777" w:rsidR="00FC22C1" w:rsidRPr="00924590" w:rsidRDefault="00D90161" w:rsidP="0075328B">
      <w:pPr>
        <w:jc w:val="both"/>
      </w:pPr>
      <w:r w:rsidRPr="00924590">
        <w:t xml:space="preserve">Wskaźnikiem referencyjnym dla certyfikatu jest popołudniowa cena aukcyjna złota London </w:t>
      </w:r>
      <w:proofErr w:type="spellStart"/>
      <w:r w:rsidRPr="00924590">
        <w:t>Bullion</w:t>
      </w:r>
      <w:proofErr w:type="spellEnd"/>
      <w:r w:rsidRPr="00924590">
        <w:t xml:space="preserve"> Market </w:t>
      </w:r>
      <w:proofErr w:type="spellStart"/>
      <w:r w:rsidRPr="00924590">
        <w:t>Association</w:t>
      </w:r>
      <w:proofErr w:type="spellEnd"/>
      <w:r w:rsidRPr="00924590">
        <w:t xml:space="preserve">. Certyfikaty mają pokrycie w fizycznym złocie, które jest kupowane w momencie emisji certyfikatów. Certyfikaty są wyceniane codziennie na podstawie odpowiadającego im prawa do złota oraz popołudniowej ceny aukcyjnej złota London </w:t>
      </w:r>
      <w:proofErr w:type="spellStart"/>
      <w:r w:rsidRPr="00924590">
        <w:t>Bullion</w:t>
      </w:r>
      <w:proofErr w:type="spellEnd"/>
      <w:r w:rsidRPr="00924590">
        <w:t xml:space="preserve"> Market </w:t>
      </w:r>
      <w:proofErr w:type="spellStart"/>
      <w:r w:rsidRPr="00924590">
        <w:t>Association</w:t>
      </w:r>
      <w:proofErr w:type="spellEnd"/>
      <w:r w:rsidRPr="00924590">
        <w:t>, która ściśle podąża za zmianami cen złota minus koszty. W związku z tym wyniki i zmienność certyfikatów oraz wskaźnika referencyjnego są bardzo zbliżone.</w:t>
      </w:r>
    </w:p>
    <w:p w14:paraId="647E0C78" w14:textId="77777777" w:rsidR="00FC22C1" w:rsidRPr="00924590" w:rsidRDefault="00D90161" w:rsidP="0075328B">
      <w:pPr>
        <w:jc w:val="both"/>
      </w:pPr>
      <w:r w:rsidRPr="00924590">
        <w:t>Gdy cena złota rośnie, wzrasta również wartość certyfikatów. Na cenę złota wpływają różne czynniki, w tym zmiany stóp procentowych, wahania kursowe, inflacja i zmiany w innych klasach aktywów, przy czym złoto jest często postrzegane jako zabezpieczenie wartości w okresach osłabienia gospodarczego. Wszystkie te czynniki będą mieć wpływ na podaż (wydobycie i odzysk) i popyt (inwestorzy, konsumenci i przemysł) na ten metal szlachetny, co z kolei wpłynie na jego cenę.</w:t>
      </w:r>
    </w:p>
    <w:p w14:paraId="52B139E6" w14:textId="77777777" w:rsidR="00FC22C1" w:rsidRPr="00924590" w:rsidRDefault="00D90161" w:rsidP="0075328B">
      <w:pPr>
        <w:jc w:val="both"/>
      </w:pPr>
      <w:r w:rsidRPr="00924590">
        <w:t xml:space="preserve">Gdy cena złota spada, spada również wartość certyfikatów. Jeżeli dolar amerykański osłabi się w stosunku do euro, spowoduje to, </w:t>
      </w:r>
      <w:proofErr w:type="spellStart"/>
      <w:r w:rsidRPr="00924590">
        <w:t>ceteris</w:t>
      </w:r>
      <w:proofErr w:type="spellEnd"/>
      <w:r w:rsidRPr="00924590">
        <w:t xml:space="preserve"> paribus, niższy zwrot dla inwestora. Instrument typu ETC wykorzystuje jednak mechanizm zabezpieczający zaprojektowany w celu zmniejszenia ekspozycji złota (a zatem certyfikatów) na wahania kursowe pomiędzy USD a EUR.</w:t>
      </w:r>
    </w:p>
    <w:p w14:paraId="74071261" w14:textId="77777777" w:rsidR="00FC22C1" w:rsidRPr="00924590" w:rsidRDefault="00D90161" w:rsidP="0075328B">
      <w:pPr>
        <w:jc w:val="both"/>
      </w:pPr>
      <w:r w:rsidRPr="00924590">
        <w:t>Jeżeli inwestor sprzeda swoją inwestycję w okresie niekorzystnych dla złota warunków rynkowych, prawdopodobnie poniesie stratę lub uzyska bardzo niski zwrot z inwestycji. 31 grudnia 2100 r., w ostatecznym terminie zapadalności, wszelkie certyfikaty, które nie zostały wcześniej sprzedane lub wykupione, zostaną wykupione. Złoto zostanie w tym dniu sprzedane po obowiązującej cenie rynkowej, co określi cenę wykupu certyfikatów.</w:t>
      </w:r>
    </w:p>
    <w:p w14:paraId="4E590DAC" w14:textId="77777777" w:rsidR="00FC22C1" w:rsidRPr="00924590" w:rsidRDefault="00D90161" w:rsidP="0075328B">
      <w:pPr>
        <w:pStyle w:val="Nagwek1"/>
      </w:pPr>
      <w:r w:rsidRPr="00924590">
        <w:t xml:space="preserve">Co się stanie, jeśli </w:t>
      </w:r>
      <w:proofErr w:type="spellStart"/>
      <w:r w:rsidRPr="00924590">
        <w:t>Invesco</w:t>
      </w:r>
      <w:proofErr w:type="spellEnd"/>
      <w:r w:rsidRPr="00924590">
        <w:t xml:space="preserve"> </w:t>
      </w:r>
      <w:proofErr w:type="spellStart"/>
      <w:r w:rsidRPr="00924590">
        <w:t>Physical</w:t>
      </w:r>
      <w:proofErr w:type="spellEnd"/>
      <w:r w:rsidRPr="00924590">
        <w:t xml:space="preserve"> </w:t>
      </w:r>
      <w:proofErr w:type="spellStart"/>
      <w:r w:rsidRPr="00924590">
        <w:t>Markets</w:t>
      </w:r>
      <w:proofErr w:type="spellEnd"/>
      <w:r w:rsidRPr="00924590">
        <w:t xml:space="preserve"> PLC nie ma możliwości wypłaty?</w:t>
      </w:r>
    </w:p>
    <w:p w14:paraId="496E51D5" w14:textId="77777777" w:rsidR="00FC22C1" w:rsidRPr="00924590" w:rsidRDefault="00D90161" w:rsidP="0075328B">
      <w:pPr>
        <w:jc w:val="both"/>
      </w:pPr>
      <w:r w:rsidRPr="00924590">
        <w:t xml:space="preserve">Inwestor może ponieść stratę finansową, jeżeli twórca lub powiernik, tzn. </w:t>
      </w:r>
      <w:proofErr w:type="spellStart"/>
      <w:r w:rsidRPr="00924590">
        <w:t>JPMorgan</w:t>
      </w:r>
      <w:proofErr w:type="spellEnd"/>
      <w:r w:rsidRPr="00924590">
        <w:t xml:space="preserve"> Chase Bank, N.A., nie wypełnią wobec niego zobowiązań. Produkt nie jest objęty programem odszkodowawczym ani gwarancyjnym, w ramach którego strata inwestora zostałaby w całości lub w części zrekompensowana.</w:t>
      </w:r>
    </w:p>
    <w:p w14:paraId="284623C2" w14:textId="77777777" w:rsidR="00FC22C1" w:rsidRPr="00924590" w:rsidRDefault="00D90161" w:rsidP="0075328B">
      <w:pPr>
        <w:pStyle w:val="Nagwek1"/>
      </w:pPr>
      <w:r w:rsidRPr="00924590">
        <w:t>Jakie są koszty?</w:t>
      </w:r>
    </w:p>
    <w:p w14:paraId="1C6BE1A6" w14:textId="71BC5101" w:rsidR="0075328B" w:rsidRPr="00924590" w:rsidRDefault="00D90161" w:rsidP="0075328B">
      <w:pPr>
        <w:jc w:val="both"/>
      </w:pPr>
      <w:r w:rsidRPr="00924590">
        <w:t xml:space="preserve">Wskaźnik obniżenia rentowności (ang. </w:t>
      </w:r>
      <w:proofErr w:type="spellStart"/>
      <w:r w:rsidRPr="00924590">
        <w:t>Reduction</w:t>
      </w:r>
      <w:proofErr w:type="spellEnd"/>
      <w:r w:rsidRPr="00924590">
        <w:t xml:space="preserve"> in </w:t>
      </w:r>
      <w:proofErr w:type="spellStart"/>
      <w:r w:rsidRPr="00924590">
        <w:t>Yield</w:t>
      </w:r>
      <w:proofErr w:type="spellEnd"/>
      <w:r w:rsidRPr="00924590">
        <w:t>, „RIY”) pokazuje, jaki wpływ będą miały całkowite koszty ponoszone przez inwestora na potencjalny zwrot z inwestycji. Całkowite koszty obejmują koszty jednorazowe, ponoszone stale i dodatkowe. Wskazane poniżej kwoty stanowią skumulowane koszty samego produktu dla trzech różnych okresów posiadania. Obejmują one potencjalne kary za wyjście z inwestycji przed terminem. Są one podane dla zakładanej wysokości inwestycji wynoszącej 10 000 EUR. Są to dane szacunkowe, które mogą ulec zmianie w przyszłości.</w:t>
      </w:r>
      <w:r w:rsidRPr="00924590">
        <w:br w:type="page"/>
      </w:r>
    </w:p>
    <w:p w14:paraId="34B77DF2" w14:textId="77777777" w:rsidR="00FC22C1" w:rsidRPr="00924590" w:rsidRDefault="00D90161" w:rsidP="000C5EA6">
      <w:pPr>
        <w:pStyle w:val="Nagwek1"/>
      </w:pPr>
      <w:r w:rsidRPr="00924590">
        <w:t>Tabela 1: koszty w czasie</w:t>
      </w:r>
    </w:p>
    <w:p w14:paraId="7E677F8E" w14:textId="77777777" w:rsidR="00FC22C1" w:rsidRPr="00924590" w:rsidRDefault="00D90161">
      <w:r w:rsidRPr="00924590">
        <w:t>Osoba sprzedająca inwestorowi niniejszy produkt lub doradzająca mu w jego zakresie może obciążyć go dodatkowymi kosztami. Poinformuje go ona wówczas o takich kosztach oraz wskaże wpływ wszystkich kosztów na inwestycję w czasie.</w:t>
      </w:r>
    </w:p>
    <w:tbl>
      <w:tblPr>
        <w:tblW w:w="4526" w:type="pct"/>
        <w:tblInd w:w="99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9"/>
        <w:gridCol w:w="2071"/>
        <w:gridCol w:w="2071"/>
        <w:gridCol w:w="2073"/>
      </w:tblGrid>
      <w:tr w:rsidR="00FC22C1" w:rsidRPr="00924590" w14:paraId="6737EAEF" w14:textId="77777777" w:rsidTr="000C5EA6">
        <w:tc>
          <w:tcPr>
            <w:tcW w:w="172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31220D" w14:textId="482E9A14" w:rsidR="00FC22C1" w:rsidRPr="00924590" w:rsidRDefault="00D90161">
            <w:pPr>
              <w:pStyle w:val="TABLE"/>
              <w:rPr>
                <w:color w:val="EB6852"/>
                <w:sz w:val="14"/>
                <w:szCs w:val="18"/>
              </w:rPr>
            </w:pPr>
            <w:r w:rsidRPr="00924590">
              <w:rPr>
                <w:b/>
                <w:color w:val="EB6852"/>
                <w:sz w:val="14"/>
              </w:rPr>
              <w:t>Scenariusze inwestycyjne (10 000 EUR)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ED09C6" w14:textId="32502881" w:rsidR="00FC22C1" w:rsidRPr="00924590" w:rsidRDefault="00D90161">
            <w:pPr>
              <w:pStyle w:val="TABLE"/>
              <w:rPr>
                <w:color w:val="EB6852"/>
                <w:sz w:val="14"/>
                <w:szCs w:val="18"/>
              </w:rPr>
            </w:pPr>
            <w:r w:rsidRPr="00924590">
              <w:rPr>
                <w:b/>
                <w:color w:val="EB6852"/>
                <w:sz w:val="14"/>
              </w:rPr>
              <w:t>Spieniężenie po 1 roku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B774C9" w14:textId="3ED9DA77" w:rsidR="00FC22C1" w:rsidRPr="00924590" w:rsidRDefault="00D90161">
            <w:pPr>
              <w:pStyle w:val="TABLE"/>
              <w:rPr>
                <w:color w:val="EB6852"/>
                <w:sz w:val="14"/>
                <w:szCs w:val="18"/>
              </w:rPr>
            </w:pPr>
            <w:r w:rsidRPr="00924590">
              <w:rPr>
                <w:b/>
                <w:color w:val="EB6852"/>
                <w:sz w:val="14"/>
              </w:rPr>
              <w:t>Spieniężenie po połowie zalecanego okresu 5 lat (po 3 latach)</w:t>
            </w:r>
          </w:p>
        </w:tc>
        <w:tc>
          <w:tcPr>
            <w:tcW w:w="109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875E42" w14:textId="469EE1F8" w:rsidR="00FC22C1" w:rsidRPr="00924590" w:rsidRDefault="00D90161">
            <w:pPr>
              <w:pStyle w:val="TABLE"/>
              <w:rPr>
                <w:color w:val="EB6852"/>
                <w:sz w:val="14"/>
                <w:szCs w:val="18"/>
              </w:rPr>
            </w:pPr>
            <w:r w:rsidRPr="00924590">
              <w:rPr>
                <w:b/>
                <w:color w:val="EB6852"/>
                <w:sz w:val="14"/>
              </w:rPr>
              <w:t>Spieniężenie po zalecanym okresie 5 lat</w:t>
            </w:r>
          </w:p>
        </w:tc>
      </w:tr>
      <w:tr w:rsidR="000C5EA6" w:rsidRPr="00924590" w14:paraId="6CBBC878" w14:textId="77777777" w:rsidTr="000C5EA6">
        <w:tc>
          <w:tcPr>
            <w:tcW w:w="172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7268B5" w14:textId="7CD92AE9" w:rsidR="000C5EA6" w:rsidRPr="00924590" w:rsidRDefault="000C5EA6">
            <w:pPr>
              <w:pStyle w:val="TABLE"/>
              <w:rPr>
                <w:b/>
                <w:sz w:val="14"/>
                <w:szCs w:val="18"/>
              </w:rPr>
            </w:pPr>
            <w:r w:rsidRPr="00924590">
              <w:rPr>
                <w:b/>
                <w:sz w:val="14"/>
              </w:rPr>
              <w:t>Całkowite koszty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27CF3A" w14:textId="5DA4797F" w:rsidR="000C5EA6" w:rsidRPr="00924590" w:rsidRDefault="000C5EA6">
            <w:pPr>
              <w:pStyle w:val="TABLE"/>
              <w:rPr>
                <w:b/>
                <w:sz w:val="14"/>
                <w:szCs w:val="18"/>
              </w:rPr>
            </w:pPr>
            <w:r w:rsidRPr="00924590">
              <w:rPr>
                <w:sz w:val="14"/>
              </w:rPr>
              <w:t>34,59 EUR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45DE5B" w14:textId="6B3DDE89" w:rsidR="000C5EA6" w:rsidRPr="00924590" w:rsidRDefault="000C5EA6" w:rsidP="000C5EA6">
            <w:pPr>
              <w:pStyle w:val="TABLE"/>
              <w:ind w:left="549"/>
              <w:rPr>
                <w:b/>
                <w:sz w:val="14"/>
                <w:szCs w:val="18"/>
              </w:rPr>
            </w:pPr>
            <w:r w:rsidRPr="00924590">
              <w:rPr>
                <w:sz w:val="14"/>
              </w:rPr>
              <w:t>110,70 EUR</w:t>
            </w:r>
          </w:p>
        </w:tc>
        <w:tc>
          <w:tcPr>
            <w:tcW w:w="109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700D52" w14:textId="4404C756" w:rsidR="000C5EA6" w:rsidRPr="00924590" w:rsidRDefault="000C5EA6" w:rsidP="000C5EA6">
            <w:pPr>
              <w:pStyle w:val="TABLE"/>
              <w:ind w:left="484"/>
              <w:rPr>
                <w:b/>
                <w:sz w:val="14"/>
                <w:szCs w:val="18"/>
              </w:rPr>
            </w:pPr>
            <w:r w:rsidRPr="00924590">
              <w:rPr>
                <w:sz w:val="14"/>
              </w:rPr>
              <w:t>196,78 EUR</w:t>
            </w:r>
          </w:p>
        </w:tc>
      </w:tr>
      <w:tr w:rsidR="00FC22C1" w:rsidRPr="00924590" w14:paraId="3E682D9B" w14:textId="77777777" w:rsidTr="000C5EA6">
        <w:tc>
          <w:tcPr>
            <w:tcW w:w="172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3CAE4F" w14:textId="77777777" w:rsidR="00FC22C1" w:rsidRPr="00924590" w:rsidRDefault="00D90161">
            <w:pPr>
              <w:pStyle w:val="TABLE"/>
              <w:rPr>
                <w:sz w:val="14"/>
                <w:szCs w:val="18"/>
              </w:rPr>
            </w:pPr>
            <w:r w:rsidRPr="00924590">
              <w:rPr>
                <w:color w:val="EB6852"/>
                <w:sz w:val="14"/>
              </w:rPr>
              <w:t>Wpływ na rentowność (RIY) rocznie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F80496" w14:textId="77777777" w:rsidR="00FC22C1" w:rsidRPr="00924590" w:rsidRDefault="00D90161">
            <w:pPr>
              <w:pStyle w:val="TABLE"/>
              <w:rPr>
                <w:sz w:val="14"/>
                <w:szCs w:val="18"/>
              </w:rPr>
            </w:pPr>
            <w:r w:rsidRPr="00924590">
              <w:rPr>
                <w:sz w:val="14"/>
              </w:rPr>
              <w:t>0,35%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4B9F2" w14:textId="77777777" w:rsidR="00FC22C1" w:rsidRPr="00924590" w:rsidRDefault="00D90161" w:rsidP="000C5EA6">
            <w:pPr>
              <w:pStyle w:val="TABLE"/>
              <w:ind w:left="549"/>
              <w:rPr>
                <w:sz w:val="14"/>
                <w:szCs w:val="18"/>
              </w:rPr>
            </w:pPr>
            <w:r w:rsidRPr="00924590">
              <w:rPr>
                <w:sz w:val="14"/>
              </w:rPr>
              <w:t>0,35%</w:t>
            </w:r>
          </w:p>
        </w:tc>
        <w:tc>
          <w:tcPr>
            <w:tcW w:w="109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EE4F61" w14:textId="77777777" w:rsidR="00FC22C1" w:rsidRPr="00924590" w:rsidRDefault="00D90161" w:rsidP="000C5EA6">
            <w:pPr>
              <w:pStyle w:val="TABLE"/>
              <w:ind w:left="484"/>
              <w:rPr>
                <w:sz w:val="14"/>
                <w:szCs w:val="18"/>
              </w:rPr>
            </w:pPr>
            <w:r w:rsidRPr="00924590">
              <w:rPr>
                <w:sz w:val="14"/>
              </w:rPr>
              <w:t>0,35%</w:t>
            </w:r>
          </w:p>
        </w:tc>
      </w:tr>
    </w:tbl>
    <w:p w14:paraId="33D94CA4" w14:textId="77777777" w:rsidR="000C5EA6" w:rsidRPr="00924590" w:rsidRDefault="000C5EA6">
      <w:pPr>
        <w:rPr>
          <w:b/>
        </w:rPr>
      </w:pPr>
    </w:p>
    <w:p w14:paraId="3DAA6654" w14:textId="4ABF9C3A" w:rsidR="00FC22C1" w:rsidRPr="00924590" w:rsidRDefault="00D90161" w:rsidP="000C5EA6">
      <w:pPr>
        <w:rPr>
          <w:b/>
          <w:bCs/>
          <w:sz w:val="22"/>
          <w:szCs w:val="32"/>
        </w:rPr>
      </w:pPr>
      <w:r w:rsidRPr="00924590">
        <w:rPr>
          <w:b/>
          <w:sz w:val="22"/>
        </w:rPr>
        <w:t>Tabela 2: struktura kosztów</w:t>
      </w:r>
    </w:p>
    <w:p w14:paraId="4D24883F" w14:textId="77777777" w:rsidR="00FC22C1" w:rsidRPr="00924590" w:rsidRDefault="00D90161">
      <w:r w:rsidRPr="00924590">
        <w:t>Poniższa tabela przedstawia:</w:t>
      </w:r>
    </w:p>
    <w:p w14:paraId="41F88AE4" w14:textId="77777777" w:rsidR="00FC22C1" w:rsidRPr="00924590" w:rsidRDefault="00D90161">
      <w:pPr>
        <w:pStyle w:val="BULLETS"/>
      </w:pPr>
      <w:r w:rsidRPr="00924590">
        <w:rPr>
          <w:i/>
        </w:rPr>
        <w:t>•</w:t>
      </w:r>
      <w:r w:rsidRPr="00924590">
        <w:rPr>
          <w:i/>
        </w:rPr>
        <w:tab/>
      </w:r>
      <w:r w:rsidRPr="00924590">
        <w:t>coroczny wpływ różnych rodzajów kosztów na potencjalny zwrot z inwestycji na koniec zalecanego okresu posiadania.</w:t>
      </w:r>
    </w:p>
    <w:p w14:paraId="76F52624" w14:textId="77777777" w:rsidR="00FC22C1" w:rsidRPr="00924590" w:rsidRDefault="00D90161">
      <w:pPr>
        <w:pStyle w:val="BULLETS"/>
      </w:pPr>
      <w:r w:rsidRPr="00924590">
        <w:rPr>
          <w:i/>
        </w:rPr>
        <w:t>•</w:t>
      </w:r>
      <w:r w:rsidRPr="00924590">
        <w:rPr>
          <w:i/>
        </w:rPr>
        <w:tab/>
      </w:r>
      <w:r w:rsidRPr="00924590">
        <w:t>znaczenie różnych kategorii kosztów.</w:t>
      </w:r>
    </w:p>
    <w:tbl>
      <w:tblPr>
        <w:tblW w:w="4729" w:type="pct"/>
        <w:tblInd w:w="56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0"/>
        <w:gridCol w:w="2269"/>
        <w:gridCol w:w="709"/>
        <w:gridCol w:w="5221"/>
      </w:tblGrid>
      <w:tr w:rsidR="000C5EA6" w:rsidRPr="00924590" w14:paraId="4270D13F" w14:textId="77777777" w:rsidTr="000C5EA6">
        <w:trPr>
          <w:trHeight w:val="603"/>
        </w:trPr>
        <w:tc>
          <w:tcPr>
            <w:tcW w:w="859" w:type="pct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5C520B3" w14:textId="77777777" w:rsidR="000C5EA6" w:rsidRPr="00924590" w:rsidRDefault="000C5EA6" w:rsidP="000C5EA6">
            <w:pPr>
              <w:pStyle w:val="TABLE"/>
              <w:rPr>
                <w:color w:val="EB6852"/>
              </w:rPr>
            </w:pPr>
            <w:r w:rsidRPr="00924590">
              <w:rPr>
                <w:b/>
                <w:color w:val="EB6852"/>
              </w:rPr>
              <w:t>Koszty jednorazowe</w:t>
            </w:r>
          </w:p>
        </w:tc>
        <w:tc>
          <w:tcPr>
            <w:tcW w:w="114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8442F9" w14:textId="77777777" w:rsidR="000C5EA6" w:rsidRPr="00924590" w:rsidRDefault="000C5EA6" w:rsidP="000C5EA6">
            <w:pPr>
              <w:pStyle w:val="TABLE"/>
            </w:pPr>
            <w:r w:rsidRPr="00924590">
              <w:rPr>
                <w:b/>
              </w:rPr>
              <w:t>Koszty wejścia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0A4363" w14:textId="77777777" w:rsidR="000C5EA6" w:rsidRPr="00924590" w:rsidRDefault="000C5EA6" w:rsidP="000C5EA6">
            <w:pPr>
              <w:pStyle w:val="TABLE"/>
            </w:pPr>
            <w:r w:rsidRPr="00924590">
              <w:t>0,00%</w:t>
            </w:r>
          </w:p>
        </w:tc>
        <w:tc>
          <w:tcPr>
            <w:tcW w:w="263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C8339C" w14:textId="77777777" w:rsidR="000C5EA6" w:rsidRPr="00924590" w:rsidRDefault="000C5EA6" w:rsidP="000C5EA6">
            <w:pPr>
              <w:pStyle w:val="TABLE"/>
            </w:pPr>
            <w:r w:rsidRPr="00924590">
              <w:t>Wpływ kosztów ponoszonych przy rozpoczęciu inwestycji. To maksymalna kwota ponoszona przez inwestora, która w rzeczywistości może być niższa.</w:t>
            </w:r>
          </w:p>
        </w:tc>
      </w:tr>
      <w:tr w:rsidR="000C5EA6" w:rsidRPr="00924590" w14:paraId="4A0E9B86" w14:textId="77777777" w:rsidTr="000C5EA6">
        <w:tc>
          <w:tcPr>
            <w:tcW w:w="859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14:paraId="7D18351A" w14:textId="77777777" w:rsidR="000C5EA6" w:rsidRPr="00924590" w:rsidRDefault="000C5EA6" w:rsidP="000C5EA6">
            <w:pPr>
              <w:pStyle w:val="TABLE"/>
              <w:rPr>
                <w:color w:val="EB6852"/>
              </w:rPr>
            </w:pP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A10C5" w14:textId="77777777" w:rsidR="000C5EA6" w:rsidRPr="00924590" w:rsidRDefault="000C5EA6" w:rsidP="000C5EA6">
            <w:pPr>
              <w:pStyle w:val="TABLE"/>
            </w:pPr>
            <w:r w:rsidRPr="00924590">
              <w:rPr>
                <w:b/>
              </w:rPr>
              <w:t>Koszty wyjścia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225D1" w14:textId="77777777" w:rsidR="000C5EA6" w:rsidRPr="00924590" w:rsidRDefault="000C5EA6" w:rsidP="000C5EA6">
            <w:pPr>
              <w:pStyle w:val="TABLE"/>
            </w:pPr>
            <w:r w:rsidRPr="00924590">
              <w:t>0,00%</w:t>
            </w:r>
          </w:p>
        </w:tc>
        <w:tc>
          <w:tcPr>
            <w:tcW w:w="26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18B01" w14:textId="77777777" w:rsidR="000C5EA6" w:rsidRPr="00924590" w:rsidRDefault="000C5EA6" w:rsidP="000C5EA6">
            <w:pPr>
              <w:pStyle w:val="TABLE"/>
            </w:pPr>
            <w:r w:rsidRPr="00924590">
              <w:t>Wpływ kosztów wyjścia z inwestycji w terminie zapadalności.</w:t>
            </w:r>
          </w:p>
        </w:tc>
      </w:tr>
      <w:tr w:rsidR="000C5EA6" w:rsidRPr="00924590" w14:paraId="228E7286" w14:textId="77777777" w:rsidTr="000C5EA6">
        <w:trPr>
          <w:trHeight w:val="600"/>
        </w:trPr>
        <w:tc>
          <w:tcPr>
            <w:tcW w:w="859" w:type="pct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D714EAE" w14:textId="3E05EB04" w:rsidR="000C5EA6" w:rsidRPr="00924590" w:rsidRDefault="000C5EA6" w:rsidP="000C5EA6">
            <w:pPr>
              <w:pStyle w:val="TABLE"/>
              <w:rPr>
                <w:color w:val="EB6852"/>
              </w:rPr>
            </w:pPr>
            <w:r w:rsidRPr="00924590">
              <w:rPr>
                <w:b/>
                <w:color w:val="EB6852"/>
              </w:rPr>
              <w:t>Koszty powtarzające się</w:t>
            </w:r>
          </w:p>
        </w:tc>
        <w:tc>
          <w:tcPr>
            <w:tcW w:w="1146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EE42B5F" w14:textId="77777777" w:rsidR="000C5EA6" w:rsidRPr="00924590" w:rsidRDefault="000C5EA6" w:rsidP="000C5EA6">
            <w:pPr>
              <w:pStyle w:val="TABLE"/>
            </w:pPr>
            <w:r w:rsidRPr="00924590">
              <w:rPr>
                <w:b/>
              </w:rPr>
              <w:t>Koszty transakcji portfelowych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260C443" w14:textId="77777777" w:rsidR="000C5EA6" w:rsidRPr="00924590" w:rsidRDefault="000C5EA6" w:rsidP="000C5EA6">
            <w:pPr>
              <w:pStyle w:val="TABLE"/>
            </w:pPr>
            <w:r w:rsidRPr="00924590">
              <w:t>0,00%</w:t>
            </w:r>
          </w:p>
        </w:tc>
        <w:tc>
          <w:tcPr>
            <w:tcW w:w="263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5615C9" w14:textId="77777777" w:rsidR="000C5EA6" w:rsidRPr="00924590" w:rsidRDefault="000C5EA6" w:rsidP="000C5EA6">
            <w:pPr>
              <w:pStyle w:val="TABLE"/>
            </w:pPr>
            <w:r w:rsidRPr="00924590">
              <w:t>Wpływ kosztów kupna i sprzedaży inwestycji bazowych do celów produktu.</w:t>
            </w:r>
          </w:p>
        </w:tc>
      </w:tr>
      <w:tr w:rsidR="000C5EA6" w:rsidRPr="00924590" w14:paraId="1F847197" w14:textId="77777777" w:rsidTr="000C5EA6">
        <w:tc>
          <w:tcPr>
            <w:tcW w:w="859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14:paraId="3E80BDA4" w14:textId="77777777" w:rsidR="000C5EA6" w:rsidRPr="00924590" w:rsidRDefault="000C5EA6" w:rsidP="000C5EA6">
            <w:pPr>
              <w:pStyle w:val="TABLE"/>
              <w:rPr>
                <w:color w:val="EB6852"/>
              </w:rPr>
            </w:pP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80FD2" w14:textId="77777777" w:rsidR="000C5EA6" w:rsidRPr="00924590" w:rsidRDefault="000C5EA6" w:rsidP="000C5EA6">
            <w:pPr>
              <w:pStyle w:val="TABLE"/>
            </w:pPr>
            <w:r w:rsidRPr="00924590">
              <w:rPr>
                <w:b/>
              </w:rPr>
              <w:t>Pozostałe koszty ponoszone stale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3E3ED" w14:textId="77777777" w:rsidR="000C5EA6" w:rsidRPr="00924590" w:rsidRDefault="000C5EA6" w:rsidP="000C5EA6">
            <w:pPr>
              <w:pStyle w:val="TABLE"/>
            </w:pPr>
            <w:r w:rsidRPr="00924590">
              <w:t>0,35%</w:t>
            </w:r>
          </w:p>
        </w:tc>
        <w:tc>
          <w:tcPr>
            <w:tcW w:w="26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BBFA9" w14:textId="77777777" w:rsidR="000C5EA6" w:rsidRPr="00924590" w:rsidRDefault="000C5EA6" w:rsidP="000C5EA6">
            <w:pPr>
              <w:pStyle w:val="TABLE"/>
            </w:pPr>
            <w:r w:rsidRPr="00924590">
              <w:t>Wpływ kosztów potrącanych przez nas co roku za zarządzanie inwestycją.</w:t>
            </w:r>
          </w:p>
        </w:tc>
      </w:tr>
      <w:tr w:rsidR="000C5EA6" w:rsidRPr="00924590" w14:paraId="7E68A7F7" w14:textId="77777777" w:rsidTr="000C5EA6">
        <w:trPr>
          <w:trHeight w:val="344"/>
        </w:trPr>
        <w:tc>
          <w:tcPr>
            <w:tcW w:w="859" w:type="pct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706745D" w14:textId="5D18540B" w:rsidR="000C5EA6" w:rsidRPr="00924590" w:rsidRDefault="000C5EA6" w:rsidP="000C5EA6">
            <w:pPr>
              <w:pStyle w:val="TABLE"/>
              <w:rPr>
                <w:color w:val="EB6852"/>
              </w:rPr>
            </w:pPr>
            <w:r w:rsidRPr="00924590">
              <w:rPr>
                <w:b/>
                <w:color w:val="EB6852"/>
              </w:rPr>
              <w:t>Koszty dodatkowe</w:t>
            </w:r>
          </w:p>
        </w:tc>
        <w:tc>
          <w:tcPr>
            <w:tcW w:w="114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AAEAB5" w14:textId="77777777" w:rsidR="000C5EA6" w:rsidRPr="00924590" w:rsidRDefault="000C5EA6" w:rsidP="000C5EA6">
            <w:pPr>
              <w:pStyle w:val="TABLE"/>
            </w:pPr>
            <w:r w:rsidRPr="00924590">
              <w:rPr>
                <w:b/>
              </w:rPr>
              <w:t>Opłata za wyniki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FAC9D6" w14:textId="77777777" w:rsidR="000C5EA6" w:rsidRPr="00924590" w:rsidRDefault="000C5EA6" w:rsidP="000C5EA6">
            <w:pPr>
              <w:pStyle w:val="TABLE"/>
            </w:pPr>
            <w:r w:rsidRPr="00924590">
              <w:t>0,00%</w:t>
            </w:r>
          </w:p>
        </w:tc>
        <w:tc>
          <w:tcPr>
            <w:tcW w:w="263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1E1DC3" w14:textId="77777777" w:rsidR="000C5EA6" w:rsidRPr="00924590" w:rsidRDefault="000C5EA6" w:rsidP="000C5EA6">
            <w:pPr>
              <w:pStyle w:val="TABLE"/>
            </w:pPr>
            <w:r w:rsidRPr="00924590">
              <w:t>Opłata za wyniki nie ma zastosowania do tego produktu.</w:t>
            </w:r>
          </w:p>
        </w:tc>
      </w:tr>
      <w:tr w:rsidR="000C5EA6" w:rsidRPr="00924590" w14:paraId="1CE77128" w14:textId="77777777" w:rsidTr="000C5EA6">
        <w:tc>
          <w:tcPr>
            <w:tcW w:w="859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14:paraId="10009EAD" w14:textId="5B7CC82D" w:rsidR="000C5EA6" w:rsidRPr="00924590" w:rsidRDefault="000C5EA6" w:rsidP="000C5EA6">
            <w:pPr>
              <w:pStyle w:val="TABLE"/>
              <w:rPr>
                <w:color w:val="EB6852"/>
              </w:rPr>
            </w:pP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414B7" w14:textId="77777777" w:rsidR="000C5EA6" w:rsidRPr="00924590" w:rsidRDefault="000C5EA6" w:rsidP="000C5EA6">
            <w:pPr>
              <w:pStyle w:val="TABLE"/>
            </w:pPr>
            <w:r w:rsidRPr="00924590">
              <w:rPr>
                <w:b/>
              </w:rPr>
              <w:t>Wynagrodzenie dodatkowe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B56FF" w14:textId="77777777" w:rsidR="000C5EA6" w:rsidRPr="00924590" w:rsidRDefault="000C5EA6" w:rsidP="000C5EA6">
            <w:pPr>
              <w:pStyle w:val="TABLE"/>
            </w:pPr>
            <w:r w:rsidRPr="00924590">
              <w:t>0,00%</w:t>
            </w:r>
          </w:p>
        </w:tc>
        <w:tc>
          <w:tcPr>
            <w:tcW w:w="26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5360E" w14:textId="77777777" w:rsidR="000C5EA6" w:rsidRPr="00924590" w:rsidRDefault="000C5EA6" w:rsidP="000C5EA6">
            <w:pPr>
              <w:pStyle w:val="TABLE"/>
            </w:pPr>
            <w:r w:rsidRPr="00924590">
              <w:t>Wynagrodzenie dodatkowe nie ma zastosowania do tego produktu.</w:t>
            </w:r>
          </w:p>
        </w:tc>
      </w:tr>
    </w:tbl>
    <w:p w14:paraId="1AD7EE51" w14:textId="77777777" w:rsidR="00FC22C1" w:rsidRPr="00924590" w:rsidRDefault="00D90161" w:rsidP="000C5EA6">
      <w:pPr>
        <w:pStyle w:val="Nagwek1"/>
      </w:pPr>
      <w:r w:rsidRPr="00924590">
        <w:t>Ile czasu powinienem posiadać produkt i czy mogę wcześniej wypłacić pieniądze?</w:t>
      </w:r>
    </w:p>
    <w:p w14:paraId="68DE6254" w14:textId="77777777" w:rsidR="00FC22C1" w:rsidRPr="00924590" w:rsidRDefault="00D90161" w:rsidP="000C5EA6">
      <w:pPr>
        <w:shd w:val="clear" w:color="auto" w:fill="EB6852"/>
        <w:rPr>
          <w:sz w:val="24"/>
          <w:szCs w:val="36"/>
        </w:rPr>
      </w:pPr>
      <w:r w:rsidRPr="00924590">
        <w:rPr>
          <w:b/>
          <w:sz w:val="24"/>
        </w:rPr>
        <w:t>Zalecany okres posiadania: 5 lat</w:t>
      </w:r>
    </w:p>
    <w:p w14:paraId="366F269B" w14:textId="77777777" w:rsidR="00FC22C1" w:rsidRPr="00924590" w:rsidRDefault="00D90161">
      <w:r w:rsidRPr="00924590">
        <w:t>Ta klasa akcji nie posiada wymaganego minimalnego okresu posiadania, jakkolwiek wybraliśmy 5 lat jako zalecany okres posiadania, ponieważ inwestuje się w nią długoterminowo. Inwestor powinien być zatem przygotowany na co najmniej pięcioletnią inwestycję.</w:t>
      </w:r>
    </w:p>
    <w:p w14:paraId="6128C5F9" w14:textId="77777777" w:rsidR="00FC22C1" w:rsidRPr="00924590" w:rsidRDefault="00D90161">
      <w:r w:rsidRPr="00924590">
        <w:t>Inwestor może sprzedać swoje akcje w ramach tej klasy podczas tego okresu z zastrzeżeniem spełnienia pewnych kryteriów określonych w prospekcie emisyjnym lub posiadać swoją inwestycję dłużej. Jeżeli inwestor sprzeda część lub całość swojej inwestycji przed upływem 5 lat, osiągnięcie celów dotyczących tej klasy akcji będzie mniej prawdopodobne, nie będzie się to jednak wiązać z żadnymi dodatkowymi kosztami.</w:t>
      </w:r>
    </w:p>
    <w:p w14:paraId="743FCE1A" w14:textId="77777777" w:rsidR="00FC22C1" w:rsidRPr="00924590" w:rsidRDefault="00D90161" w:rsidP="000C5EA6">
      <w:pPr>
        <w:pStyle w:val="Nagwek1"/>
      </w:pPr>
      <w:r w:rsidRPr="00924590">
        <w:t>Jak mogę złożyć skargę?</w:t>
      </w:r>
    </w:p>
    <w:p w14:paraId="4ED2A3D2" w14:textId="77777777" w:rsidR="00FC22C1" w:rsidRPr="00924590" w:rsidRDefault="00D90161" w:rsidP="000C5EA6">
      <w:pPr>
        <w:spacing w:after="0"/>
      </w:pPr>
      <w:r w:rsidRPr="00924590">
        <w:t>Wszelkie skargi i reklamacje dotyczące produktu lub postępowania jego twórcy lub osoby doradzającej w zakresie produktu lub sprzedającej go inwestor może zgłosić w jeden z następujących trzech sposobów:</w:t>
      </w:r>
    </w:p>
    <w:p w14:paraId="01E38A2E" w14:textId="77777777" w:rsidR="00FC22C1" w:rsidRPr="00924590" w:rsidRDefault="00D90161" w:rsidP="000C5EA6">
      <w:pPr>
        <w:spacing w:after="0"/>
      </w:pPr>
      <w:r w:rsidRPr="00924590">
        <w:t>(1) telefonicznie na numer: +44 020 3370 1100; zarejestrujemy wówczas zgłoszenie i wyjaśnimy, jakie kroki należy podjąć.</w:t>
      </w:r>
    </w:p>
    <w:p w14:paraId="1138C6DA" w14:textId="0E2C0DEF" w:rsidR="00FC22C1" w:rsidRPr="00924590" w:rsidRDefault="00D90161" w:rsidP="000C5EA6">
      <w:pPr>
        <w:spacing w:after="0"/>
      </w:pPr>
      <w:r w:rsidRPr="00924590">
        <w:t xml:space="preserve">(2) za pomocą poczty elektronicznej na adres </w:t>
      </w:r>
      <w:hyperlink r:id="rId14">
        <w:r w:rsidRPr="00924590">
          <w:rPr>
            <w:rStyle w:val="Hipercze"/>
          </w:rPr>
          <w:t>Legaletf@invesco.com</w:t>
        </w:r>
      </w:hyperlink>
    </w:p>
    <w:p w14:paraId="4A315F41" w14:textId="77777777" w:rsidR="00FC22C1" w:rsidRPr="00A6251B" w:rsidRDefault="00D90161">
      <w:pPr>
        <w:rPr>
          <w:lang w:val="en-US"/>
        </w:rPr>
      </w:pPr>
      <w:r w:rsidRPr="00A6251B">
        <w:rPr>
          <w:lang w:val="en-US"/>
        </w:rPr>
        <w:t xml:space="preserve">(3) </w:t>
      </w:r>
      <w:proofErr w:type="spellStart"/>
      <w:r w:rsidRPr="00A6251B">
        <w:rPr>
          <w:lang w:val="en-US"/>
        </w:rPr>
        <w:t>pocztą</w:t>
      </w:r>
      <w:proofErr w:type="spellEnd"/>
      <w:r w:rsidRPr="00A6251B">
        <w:rPr>
          <w:lang w:val="en-US"/>
        </w:rPr>
        <w:t xml:space="preserve"> na </w:t>
      </w:r>
      <w:proofErr w:type="spellStart"/>
      <w:r w:rsidRPr="00A6251B">
        <w:rPr>
          <w:lang w:val="en-US"/>
        </w:rPr>
        <w:t>adres</w:t>
      </w:r>
      <w:proofErr w:type="spellEnd"/>
      <w:r w:rsidRPr="00A6251B">
        <w:rPr>
          <w:lang w:val="en-US"/>
        </w:rPr>
        <w:t xml:space="preserve"> </w:t>
      </w:r>
      <w:proofErr w:type="spellStart"/>
      <w:r w:rsidRPr="00A6251B">
        <w:rPr>
          <w:lang w:val="en-US"/>
        </w:rPr>
        <w:t>korespondencyjny</w:t>
      </w:r>
      <w:proofErr w:type="spellEnd"/>
      <w:r w:rsidRPr="00A6251B">
        <w:rPr>
          <w:lang w:val="en-US"/>
        </w:rPr>
        <w:t>: ETF Legal Department, Invesco, Portman Square House, 43-45 Portman Square, London W1H 6LY, UK (</w:t>
      </w:r>
      <w:proofErr w:type="spellStart"/>
      <w:r w:rsidRPr="00A6251B">
        <w:rPr>
          <w:lang w:val="en-US"/>
        </w:rPr>
        <w:t>Wielka</w:t>
      </w:r>
      <w:proofErr w:type="spellEnd"/>
      <w:r w:rsidRPr="00A6251B">
        <w:rPr>
          <w:lang w:val="en-US"/>
        </w:rPr>
        <w:t xml:space="preserve"> </w:t>
      </w:r>
      <w:proofErr w:type="spellStart"/>
      <w:r w:rsidRPr="00A6251B">
        <w:rPr>
          <w:lang w:val="en-US"/>
        </w:rPr>
        <w:t>Brytania</w:t>
      </w:r>
      <w:proofErr w:type="spellEnd"/>
      <w:r w:rsidRPr="00A6251B">
        <w:rPr>
          <w:lang w:val="en-US"/>
        </w:rPr>
        <w:t>).</w:t>
      </w:r>
    </w:p>
    <w:p w14:paraId="63202B16" w14:textId="77777777" w:rsidR="00FC22C1" w:rsidRPr="00924590" w:rsidRDefault="00D90161" w:rsidP="000C5EA6">
      <w:pPr>
        <w:pStyle w:val="Nagwek1"/>
      </w:pPr>
      <w:r w:rsidRPr="00924590">
        <w:t>Inne istotne informacje</w:t>
      </w:r>
    </w:p>
    <w:p w14:paraId="6421C91A" w14:textId="77777777" w:rsidR="00FC22C1" w:rsidRPr="00924590" w:rsidRDefault="00D90161" w:rsidP="000C5EA6">
      <w:pPr>
        <w:spacing w:after="120"/>
      </w:pPr>
      <w:r w:rsidRPr="00924590">
        <w:rPr>
          <w:b/>
        </w:rPr>
        <w:t xml:space="preserve">Informacje dodatkowe: </w:t>
      </w:r>
      <w:r w:rsidRPr="00924590">
        <w:t xml:space="preserve">Jesteśmy zobowiązani do dostarczania inwestorowi informacji dodatkowych, takich jak prospekt emisyjny, najnowszy raport roczny i późniejsze raporty okresowe. Te dokumenty i inne praktyczne informacje są dostępne bezpłatnie pod adresem </w:t>
      </w:r>
      <w:r w:rsidRPr="00924590">
        <w:rPr>
          <w:u w:val="single"/>
        </w:rPr>
        <w:t>etf.invesco.com</w:t>
      </w:r>
      <w:r w:rsidRPr="00924590">
        <w:t xml:space="preserve"> (proszę wybrać swój kraj i przejść do Biblioteki).</w:t>
      </w:r>
    </w:p>
    <w:p w14:paraId="7F2CC9AD" w14:textId="0C0EBBA7" w:rsidR="00FC22C1" w:rsidRPr="00924590" w:rsidRDefault="00D90161" w:rsidP="000C5EA6">
      <w:pPr>
        <w:spacing w:after="120"/>
      </w:pPr>
      <w:r w:rsidRPr="00924590">
        <w:rPr>
          <w:b/>
        </w:rPr>
        <w:t xml:space="preserve">Wyniki historyczne: </w:t>
      </w:r>
      <w:r w:rsidRPr="00924590">
        <w:t xml:space="preserve">Wyniki historyczne tej klasy akcji obejmujące okres od wprowadzenia ich do obrotu, nie więcej jednak niż za ostatnie 10 lat, można przeglądać w naszej witrynie internetowej pod adresem </w:t>
      </w:r>
      <w:hyperlink r:id="rId15">
        <w:r w:rsidRPr="00924590">
          <w:rPr>
            <w:rStyle w:val="Hipercze"/>
          </w:rPr>
          <w:t>https://www.invesco.com/emea/en/priips.html</w:t>
        </w:r>
      </w:hyperlink>
      <w:r w:rsidRPr="00924590">
        <w:t>.</w:t>
      </w:r>
    </w:p>
    <w:p w14:paraId="7441ECE1" w14:textId="6DA3E661" w:rsidR="00FC22C1" w:rsidRPr="00924590" w:rsidRDefault="00D90161" w:rsidP="000C5EA6">
      <w:pPr>
        <w:spacing w:after="120"/>
      </w:pPr>
      <w:r w:rsidRPr="00924590">
        <w:rPr>
          <w:b/>
        </w:rPr>
        <w:t xml:space="preserve">Historyczne scenariusze wyników: </w:t>
      </w:r>
      <w:r w:rsidRPr="00924590">
        <w:t xml:space="preserve">Historyczne scenariusze wyników tej klasy akcji za ostatnie 12 miesięcy można przeglądać w naszej witrynie internetowej pod adresem </w:t>
      </w:r>
      <w:hyperlink r:id="rId16">
        <w:r w:rsidRPr="00924590">
          <w:rPr>
            <w:rStyle w:val="Hipercze"/>
          </w:rPr>
          <w:t>https://www.invesco.com/emea/en/priips.html</w:t>
        </w:r>
      </w:hyperlink>
      <w:r w:rsidRPr="00924590">
        <w:t>.</w:t>
      </w:r>
    </w:p>
    <w:sectPr w:rsidR="00FC22C1" w:rsidRPr="00924590" w:rsidSect="0075328B">
      <w:type w:val="continuous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6AFED2" w14:textId="77777777" w:rsidR="0086484A" w:rsidRDefault="0086484A" w:rsidP="0075328B">
      <w:pPr>
        <w:spacing w:after="0"/>
      </w:pPr>
      <w:r>
        <w:separator/>
      </w:r>
    </w:p>
  </w:endnote>
  <w:endnote w:type="continuationSeparator" w:id="0">
    <w:p w14:paraId="006055D8" w14:textId="77777777" w:rsidR="0086484A" w:rsidRDefault="0086484A" w:rsidP="007532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CBD6F" w14:textId="77777777" w:rsidR="000C5EA6" w:rsidRPr="000C5EA6" w:rsidRDefault="000C5EA6" w:rsidP="000C5EA6">
    <w:pPr>
      <w:tabs>
        <w:tab w:val="center" w:pos="4536"/>
        <w:tab w:val="right" w:pos="9072"/>
      </w:tabs>
      <w:spacing w:after="0"/>
    </w:pPr>
  </w:p>
  <w:p w14:paraId="4CDC1D12" w14:textId="6F6B69B7" w:rsidR="000C5EA6" w:rsidRPr="000C5EA6" w:rsidRDefault="000C5EA6" w:rsidP="000C5EA6">
    <w:pPr>
      <w:tabs>
        <w:tab w:val="center" w:pos="4536"/>
        <w:tab w:val="right" w:pos="9072"/>
      </w:tabs>
      <w:spacing w:after="0"/>
      <w:jc w:val="right"/>
      <w:rPr>
        <w:sz w:val="20"/>
        <w:szCs w:val="28"/>
      </w:rPr>
    </w:pPr>
    <w:r>
      <w:rPr>
        <w:sz w:val="20"/>
      </w:rPr>
      <w:t xml:space="preserve">Strona </w:t>
    </w:r>
    <w:r w:rsidRPr="000C5EA6">
      <w:rPr>
        <w:sz w:val="20"/>
      </w:rPr>
      <w:fldChar w:fldCharType="begin"/>
    </w:r>
    <w:r w:rsidRPr="000C5EA6">
      <w:rPr>
        <w:sz w:val="20"/>
      </w:rPr>
      <w:instrText>PAGE  \* Arabic  \* MERGEFORMAT</w:instrText>
    </w:r>
    <w:r w:rsidRPr="000C5EA6">
      <w:rPr>
        <w:sz w:val="20"/>
      </w:rPr>
      <w:fldChar w:fldCharType="separate"/>
    </w:r>
    <w:r w:rsidR="00A6251B">
      <w:rPr>
        <w:noProof/>
        <w:sz w:val="20"/>
      </w:rPr>
      <w:t>3</w:t>
    </w:r>
    <w:r w:rsidRPr="000C5EA6">
      <w:rPr>
        <w:sz w:val="20"/>
      </w:rPr>
      <w:fldChar w:fldCharType="end"/>
    </w:r>
    <w:r>
      <w:rPr>
        <w:sz w:val="20"/>
      </w:rPr>
      <w:t xml:space="preserve"> z </w:t>
    </w:r>
    <w:r w:rsidRPr="000C5EA6">
      <w:rPr>
        <w:sz w:val="20"/>
      </w:rPr>
      <w:fldChar w:fldCharType="begin"/>
    </w:r>
    <w:r w:rsidRPr="000C5EA6">
      <w:rPr>
        <w:sz w:val="20"/>
      </w:rPr>
      <w:instrText>NUMPAGES  \* Arabic  \* MERGEFORMAT</w:instrText>
    </w:r>
    <w:r w:rsidRPr="000C5EA6">
      <w:rPr>
        <w:sz w:val="20"/>
      </w:rPr>
      <w:fldChar w:fldCharType="separate"/>
    </w:r>
    <w:r w:rsidR="00A6251B">
      <w:rPr>
        <w:noProof/>
        <w:sz w:val="20"/>
      </w:rPr>
      <w:t>3</w:t>
    </w:r>
    <w:r w:rsidRPr="000C5EA6"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BB578" w14:textId="77777777" w:rsidR="0075328B" w:rsidRDefault="0075328B">
    <w:pPr>
      <w:pStyle w:val="Stopka"/>
    </w:pPr>
  </w:p>
  <w:p w14:paraId="02A2C1D5" w14:textId="5C85EA99" w:rsidR="0075328B" w:rsidRPr="0075328B" w:rsidRDefault="0075328B" w:rsidP="0075328B">
    <w:pPr>
      <w:pStyle w:val="Stopka"/>
      <w:jc w:val="right"/>
      <w:rPr>
        <w:sz w:val="20"/>
        <w:szCs w:val="28"/>
      </w:rPr>
    </w:pPr>
    <w:r>
      <w:rPr>
        <w:sz w:val="20"/>
      </w:rPr>
      <w:t xml:space="preserve">Strona </w:t>
    </w:r>
    <w:r w:rsidRPr="0075328B">
      <w:rPr>
        <w:sz w:val="20"/>
      </w:rPr>
      <w:fldChar w:fldCharType="begin"/>
    </w:r>
    <w:r w:rsidRPr="0075328B">
      <w:rPr>
        <w:sz w:val="20"/>
      </w:rPr>
      <w:instrText>PAGE  \* Arabic  \* MERGEFORMAT</w:instrText>
    </w:r>
    <w:r w:rsidRPr="0075328B">
      <w:rPr>
        <w:sz w:val="20"/>
      </w:rPr>
      <w:fldChar w:fldCharType="separate"/>
    </w:r>
    <w:r w:rsidR="00A6251B">
      <w:rPr>
        <w:noProof/>
        <w:sz w:val="20"/>
      </w:rPr>
      <w:t>1</w:t>
    </w:r>
    <w:r w:rsidRPr="0075328B">
      <w:rPr>
        <w:sz w:val="20"/>
      </w:rPr>
      <w:fldChar w:fldCharType="end"/>
    </w:r>
    <w:r>
      <w:rPr>
        <w:sz w:val="20"/>
      </w:rPr>
      <w:t xml:space="preserve"> z </w:t>
    </w:r>
    <w:r w:rsidRPr="0075328B">
      <w:rPr>
        <w:sz w:val="20"/>
      </w:rPr>
      <w:fldChar w:fldCharType="begin"/>
    </w:r>
    <w:r w:rsidRPr="0075328B">
      <w:rPr>
        <w:sz w:val="20"/>
      </w:rPr>
      <w:instrText>NUMPAGES  \* Arabic  \* MERGEFORMAT</w:instrText>
    </w:r>
    <w:r w:rsidRPr="0075328B">
      <w:rPr>
        <w:sz w:val="20"/>
      </w:rPr>
      <w:fldChar w:fldCharType="separate"/>
    </w:r>
    <w:r w:rsidR="00A6251B">
      <w:rPr>
        <w:noProof/>
        <w:sz w:val="20"/>
      </w:rPr>
      <w:t>3</w:t>
    </w:r>
    <w:r w:rsidRPr="0075328B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5192E8" w14:textId="77777777" w:rsidR="0086484A" w:rsidRDefault="0086484A" w:rsidP="0075328B">
      <w:pPr>
        <w:spacing w:after="0"/>
      </w:pPr>
      <w:r>
        <w:separator/>
      </w:r>
    </w:p>
  </w:footnote>
  <w:footnote w:type="continuationSeparator" w:id="0">
    <w:p w14:paraId="2335892B" w14:textId="77777777" w:rsidR="0086484A" w:rsidRDefault="0086484A" w:rsidP="007532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28"/>
      <w:gridCol w:w="5228"/>
    </w:tblGrid>
    <w:tr w:rsidR="0075328B" w14:paraId="4CE2F2CA" w14:textId="77777777" w:rsidTr="000C5EA6">
      <w:tc>
        <w:tcPr>
          <w:tcW w:w="5228" w:type="dxa"/>
        </w:tcPr>
        <w:p w14:paraId="2E3E5458" w14:textId="77777777" w:rsidR="0075328B" w:rsidRDefault="0075328B" w:rsidP="0075328B">
          <w:r>
            <w:rPr>
              <w:noProof/>
              <w:lang w:eastAsia="pl-PL"/>
            </w:rPr>
            <w:drawing>
              <wp:inline distT="0" distB="0" distL="0" distR="0" wp14:anchorId="398908EC" wp14:editId="592821E5">
                <wp:extent cx="889000" cy="688975"/>
                <wp:effectExtent l="0" t="0" r="0" b="0"/>
                <wp:docPr id="353144990" name="Obraz 3531449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ew Bitmap Image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9000" cy="688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8" w:type="dxa"/>
        </w:tcPr>
        <w:p w14:paraId="28367994" w14:textId="77777777" w:rsidR="0075328B" w:rsidRDefault="0075328B" w:rsidP="0075328B"/>
      </w:tc>
    </w:tr>
  </w:tbl>
  <w:p w14:paraId="4344A8A5" w14:textId="77777777" w:rsidR="0075328B" w:rsidRDefault="007532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7479"/>
    </w:tblGrid>
    <w:tr w:rsidR="0075328B" w:rsidRPr="0075328B" w14:paraId="775F1214" w14:textId="77777777" w:rsidTr="000C5EA6">
      <w:tc>
        <w:tcPr>
          <w:tcW w:w="2977" w:type="dxa"/>
        </w:tcPr>
        <w:p w14:paraId="6BFD3E31" w14:textId="77777777" w:rsidR="0075328B" w:rsidRDefault="0075328B" w:rsidP="0075328B">
          <w:r>
            <w:rPr>
              <w:noProof/>
              <w:lang w:eastAsia="pl-PL"/>
            </w:rPr>
            <w:drawing>
              <wp:inline distT="0" distB="0" distL="0" distR="0" wp14:anchorId="15457BAF" wp14:editId="25A6AA23">
                <wp:extent cx="889000" cy="688975"/>
                <wp:effectExtent l="0" t="0" r="0" b="0"/>
                <wp:docPr id="1981939174" name="Obraz 19819391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ew Bitmap Image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9000" cy="688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79" w:type="dxa"/>
        </w:tcPr>
        <w:p w14:paraId="75410D07" w14:textId="77777777" w:rsidR="00A6251B" w:rsidRDefault="00A6251B" w:rsidP="00A6251B">
          <w:pPr>
            <w:pBdr>
              <w:bottom w:val="single" w:sz="4" w:space="1" w:color="auto"/>
            </w:pBdr>
            <w:spacing w:before="240"/>
            <w:jc w:val="both"/>
            <w:outlineLvl w:val="0"/>
            <w:rPr>
              <w:rFonts w:cs="Microsoft Sans Serif"/>
              <w:b/>
              <w:color w:val="FF0000"/>
              <w:sz w:val="12"/>
              <w:szCs w:val="12"/>
            </w:rPr>
          </w:pPr>
          <w:r>
            <w:rPr>
              <w:b/>
              <w:color w:val="FF0000"/>
              <w:sz w:val="12"/>
              <w:szCs w:val="12"/>
            </w:rPr>
            <w:t xml:space="preserve">Niniejszy dokument jest tłumaczeniem z języka angielskiego dokumentu zawierającego kluczowe informacje („KID") dokonanym dla BNP </w:t>
          </w:r>
          <w:proofErr w:type="spellStart"/>
          <w:r>
            <w:rPr>
              <w:b/>
              <w:color w:val="FF0000"/>
              <w:sz w:val="12"/>
              <w:szCs w:val="12"/>
            </w:rPr>
            <w:t>Paribas</w:t>
          </w:r>
          <w:proofErr w:type="spellEnd"/>
          <w:r>
            <w:rPr>
              <w:b/>
              <w:color w:val="FF0000"/>
              <w:sz w:val="12"/>
              <w:szCs w:val="12"/>
            </w:rPr>
            <w:t xml:space="preserve"> Bank Polska S.A. Wersja w języku angielskim, przygotowana przez emitenta, znajduje się na stronie internetowej emitenta jak i stronie www Biura Maklerskiego: Rachunek maklerski - BNP </w:t>
          </w:r>
          <w:proofErr w:type="spellStart"/>
          <w:r>
            <w:rPr>
              <w:b/>
              <w:color w:val="FF0000"/>
              <w:sz w:val="12"/>
              <w:szCs w:val="12"/>
            </w:rPr>
            <w:t>Paribas</w:t>
          </w:r>
          <w:proofErr w:type="spellEnd"/>
          <w:r>
            <w:rPr>
              <w:b/>
              <w:color w:val="FF0000"/>
              <w:sz w:val="12"/>
              <w:szCs w:val="12"/>
            </w:rPr>
            <w:t xml:space="preserve"> Bank Polska S.A.</w:t>
          </w:r>
        </w:p>
        <w:p w14:paraId="46243FF3" w14:textId="42186A05" w:rsidR="0075328B" w:rsidRPr="0075328B" w:rsidRDefault="0075328B" w:rsidP="0075328B">
          <w:pPr>
            <w:spacing w:after="0" w:line="360" w:lineRule="auto"/>
            <w:rPr>
              <w:sz w:val="20"/>
              <w:szCs w:val="28"/>
            </w:rPr>
          </w:pPr>
          <w:r>
            <w:rPr>
              <w:b/>
              <w:sz w:val="20"/>
            </w:rPr>
            <w:t>Dokument zawierający kluczowe informacje</w:t>
          </w:r>
        </w:p>
        <w:p w14:paraId="6D47D263" w14:textId="70E25D8E" w:rsidR="0075328B" w:rsidRPr="0075328B" w:rsidRDefault="0075328B" w:rsidP="0075328B">
          <w:pPr>
            <w:spacing w:after="0"/>
          </w:pPr>
          <w:r>
            <w:rPr>
              <w:b/>
            </w:rPr>
            <w:t xml:space="preserve">Cel: </w:t>
          </w:r>
          <w:r>
            <w:t>Poniższy dokument zawiera kluczowe informacje o danym produkcie inwestycyjnym. Nie jest to materiał marketingowy. Udzielenie tych informacji jest wymagane prawem, aby pomóc w zrozumieniu charakteru tego produktu inwestycyjnego oraz ryzyka, kosztów, potencjalnych zysków i strat z nim związanych, a także pomóc w porównywaniu go z innymi produktami.</w:t>
          </w:r>
        </w:p>
      </w:tc>
    </w:tr>
  </w:tbl>
  <w:p w14:paraId="17F67C80" w14:textId="77777777" w:rsidR="0075328B" w:rsidRPr="00A6251B" w:rsidRDefault="0075328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2C1"/>
    <w:rsid w:val="000C5EA6"/>
    <w:rsid w:val="0075328B"/>
    <w:rsid w:val="0086484A"/>
    <w:rsid w:val="00924590"/>
    <w:rsid w:val="00A6251B"/>
    <w:rsid w:val="00D2085F"/>
    <w:rsid w:val="00D90161"/>
    <w:rsid w:val="00FC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B01E8D"/>
  <w15:docId w15:val="{D2862293-60FD-4563-8B17-11E2A707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328B"/>
    <w:pPr>
      <w:spacing w:after="240"/>
    </w:pPr>
    <w:rPr>
      <w:rFonts w:ascii="Arial" w:hAnsi="Arial" w:cs="Arial"/>
      <w:sz w:val="17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5EA6"/>
    <w:pPr>
      <w:pBdr>
        <w:top w:val="single" w:sz="4" w:space="1" w:color="auto"/>
      </w:pBdr>
      <w:spacing w:before="120" w:after="120"/>
      <w:outlineLvl w:val="0"/>
    </w:pPr>
    <w:rPr>
      <w:b/>
      <w:sz w:val="2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5328B"/>
    <w:pPr>
      <w:spacing w:before="240" w:after="120"/>
      <w:outlineLvl w:val="1"/>
    </w:pPr>
    <w:rPr>
      <w:b/>
      <w:sz w:val="18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D68C4"/>
    <w:pPr>
      <w:keepNext/>
      <w:keepLines/>
      <w:spacing w:before="120"/>
      <w:outlineLvl w:val="2"/>
    </w:pPr>
    <w:rPr>
      <w:rFonts w:eastAsiaTheme="majorEastAsia" w:cstheme="majorBidi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">
    <w:name w:val="_TABLE"/>
    <w:basedOn w:val="Normalny"/>
    <w:qFormat/>
    <w:rsid w:val="0075328B"/>
    <w:pPr>
      <w:spacing w:after="0"/>
    </w:pPr>
  </w:style>
  <w:style w:type="paragraph" w:customStyle="1" w:styleId="TABLEBULLETS">
    <w:name w:val="_TABLE_BULLETS"/>
    <w:basedOn w:val="TABLE"/>
    <w:qFormat/>
    <w:rsid w:val="00535D64"/>
    <w:pPr>
      <w:ind w:left="284" w:hanging="284"/>
    </w:pPr>
  </w:style>
  <w:style w:type="paragraph" w:customStyle="1" w:styleId="BULLETS">
    <w:name w:val="_BULLETS"/>
    <w:basedOn w:val="Normalny"/>
    <w:qFormat/>
    <w:rsid w:val="00535D64"/>
    <w:pPr>
      <w:spacing w:after="60"/>
      <w:ind w:left="567" w:hanging="567"/>
    </w:pPr>
  </w:style>
  <w:style w:type="character" w:customStyle="1" w:styleId="Nagwek1Znak">
    <w:name w:val="Nagłówek 1 Znak"/>
    <w:basedOn w:val="Domylnaczcionkaakapitu"/>
    <w:link w:val="Nagwek1"/>
    <w:uiPriority w:val="9"/>
    <w:rsid w:val="000C5EA6"/>
    <w:rPr>
      <w:rFonts w:ascii="Arial" w:hAnsi="Arial" w:cs="Arial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5328B"/>
    <w:rPr>
      <w:rFonts w:ascii="Arial" w:hAnsi="Arial" w:cs="Arial"/>
      <w:b/>
      <w:sz w:val="18"/>
      <w:szCs w:val="24"/>
      <w:lang w:val="pl-PL"/>
    </w:rPr>
  </w:style>
  <w:style w:type="paragraph" w:styleId="Akapitzlist">
    <w:name w:val="List Paragraph"/>
    <w:basedOn w:val="Normalny"/>
    <w:uiPriority w:val="34"/>
    <w:qFormat/>
    <w:rsid w:val="008248CA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E24FF8"/>
    <w:pPr>
      <w:spacing w:line="259" w:lineRule="auto"/>
      <w:outlineLvl w:val="9"/>
    </w:pPr>
    <w:rPr>
      <w:sz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8248CA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8248CA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8248CA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7D68C4"/>
    <w:rPr>
      <w:rFonts w:ascii="Arial" w:eastAsiaTheme="majorEastAsia" w:hAnsi="Arial" w:cstheme="majorBidi"/>
      <w:b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8248CA"/>
    <w:pPr>
      <w:spacing w:after="100"/>
      <w:ind w:left="440"/>
    </w:pPr>
  </w:style>
  <w:style w:type="paragraph" w:styleId="Nagwek">
    <w:name w:val="header"/>
    <w:basedOn w:val="Normalny"/>
    <w:link w:val="NagwekZnak"/>
    <w:uiPriority w:val="99"/>
    <w:unhideWhenUsed/>
    <w:rsid w:val="00AC7C6F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AC7C6F"/>
    <w:rPr>
      <w:rFonts w:ascii="Arial" w:hAnsi="Arial"/>
    </w:rPr>
  </w:style>
  <w:style w:type="paragraph" w:styleId="Stopka">
    <w:name w:val="footer"/>
    <w:basedOn w:val="Normalny"/>
    <w:link w:val="StopkaZnak"/>
    <w:uiPriority w:val="99"/>
    <w:unhideWhenUsed/>
    <w:rsid w:val="00AC7C6F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AC7C6F"/>
    <w:rPr>
      <w:rFonts w:ascii="Arial" w:hAnsi="Aria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C7C6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EC0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2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invesco.com/emea/en/priips.html" TargetMode="Externa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invesco.com/emea/en/priips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etf.invesco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mailto:Invest@invesco.com" TargetMode="Externa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Invest@invesc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1469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RYMART</dc:creator>
  <cp:lastModifiedBy>ŻURANIEWSKA Agnieszka</cp:lastModifiedBy>
  <cp:revision>3</cp:revision>
  <dcterms:created xsi:type="dcterms:W3CDTF">2023-11-23T14:14:00Z</dcterms:created>
  <dcterms:modified xsi:type="dcterms:W3CDTF">2023-11-23T15:06:00Z</dcterms:modified>
</cp:coreProperties>
</file>