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6721"/>
      </w:tblGrid>
      <w:tr w:rsidR="007260E2" w:rsidRPr="000B0A47" w14:paraId="4A66DAD7" w14:textId="77777777" w:rsidTr="00152D5B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814CAA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Produkt</w:t>
            </w:r>
          </w:p>
        </w:tc>
      </w:tr>
      <w:tr w:rsidR="00152D5B" w:rsidRPr="000B0A47" w14:paraId="32F3BC91" w14:textId="77777777" w:rsidTr="00152D5B">
        <w:trPr>
          <w:trHeight w:val="233"/>
        </w:trPr>
        <w:tc>
          <w:tcPr>
            <w:tcW w:w="1555" w:type="pct"/>
            <w:shd w:val="clear" w:color="auto" w:fill="FFFFFF"/>
          </w:tcPr>
          <w:p w14:paraId="2D810D4A" w14:textId="22DD126E" w:rsidR="00152D5B" w:rsidRPr="000B0A47" w:rsidRDefault="00152D5B" w:rsidP="00152D5B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Nazwa funduszu:</w:t>
            </w:r>
            <w:bookmarkStart w:id="0" w:name="_GoBack"/>
            <w:bookmarkEnd w:id="0"/>
          </w:p>
        </w:tc>
        <w:tc>
          <w:tcPr>
            <w:tcW w:w="3445" w:type="pct"/>
            <w:shd w:val="clear" w:color="auto" w:fill="FFFFFF"/>
          </w:tcPr>
          <w:p w14:paraId="345B7066" w14:textId="36F4D3E2" w:rsidR="00152D5B" w:rsidRPr="000B0A47" w:rsidRDefault="00152D5B" w:rsidP="00152D5B">
            <w:pPr>
              <w:ind w:left="36" w:right="36"/>
              <w:rPr>
                <w:sz w:val="20"/>
              </w:rPr>
            </w:pPr>
            <w:proofErr w:type="spellStart"/>
            <w:r w:rsidRPr="000B0A47">
              <w:rPr>
                <w:b/>
                <w:sz w:val="20"/>
              </w:rPr>
              <w:t>Invesco</w:t>
            </w:r>
            <w:proofErr w:type="spellEnd"/>
            <w:r w:rsidRPr="000B0A47">
              <w:rPr>
                <w:b/>
                <w:sz w:val="20"/>
              </w:rPr>
              <w:t xml:space="preserve"> </w:t>
            </w:r>
            <w:proofErr w:type="spellStart"/>
            <w:r w:rsidRPr="000B0A47">
              <w:rPr>
                <w:b/>
                <w:sz w:val="20"/>
              </w:rPr>
              <w:t>Physical</w:t>
            </w:r>
            <w:proofErr w:type="spellEnd"/>
            <w:r w:rsidRPr="000B0A47">
              <w:rPr>
                <w:b/>
                <w:sz w:val="20"/>
              </w:rPr>
              <w:t xml:space="preserve"> Gold ETC (Instrumenty </w:t>
            </w:r>
            <w:proofErr w:type="spellStart"/>
            <w:r w:rsidRPr="000B0A47">
              <w:rPr>
                <w:b/>
                <w:sz w:val="20"/>
              </w:rPr>
              <w:t>Invesco</w:t>
            </w:r>
            <w:proofErr w:type="spellEnd"/>
            <w:r w:rsidRPr="000B0A47">
              <w:rPr>
                <w:b/>
                <w:sz w:val="20"/>
              </w:rPr>
              <w:t xml:space="preserve"> typu ETC z ekspozycją na złoto)</w:t>
            </w:r>
          </w:p>
        </w:tc>
      </w:tr>
      <w:tr w:rsidR="00152D5B" w:rsidRPr="000B0A47" w14:paraId="64DD98C1" w14:textId="77777777" w:rsidTr="00152D5B">
        <w:trPr>
          <w:trHeight w:val="232"/>
        </w:trPr>
        <w:tc>
          <w:tcPr>
            <w:tcW w:w="1555" w:type="pct"/>
            <w:shd w:val="clear" w:color="auto" w:fill="FFFFFF"/>
          </w:tcPr>
          <w:p w14:paraId="23E80ACD" w14:textId="5A286812" w:rsidR="00152D5B" w:rsidRPr="000B0A47" w:rsidRDefault="00152D5B" w:rsidP="00A373FD">
            <w:pPr>
              <w:ind w:left="36" w:right="36"/>
              <w:rPr>
                <w:b/>
                <w:bCs/>
                <w:sz w:val="20"/>
              </w:rPr>
            </w:pPr>
            <w:r w:rsidRPr="000B0A47">
              <w:rPr>
                <w:b/>
                <w:sz w:val="20"/>
              </w:rPr>
              <w:t>ISIN:</w:t>
            </w:r>
          </w:p>
        </w:tc>
        <w:tc>
          <w:tcPr>
            <w:tcW w:w="3445" w:type="pct"/>
            <w:shd w:val="clear" w:color="auto" w:fill="FFFFFF"/>
          </w:tcPr>
          <w:p w14:paraId="17F31E49" w14:textId="671BF78D" w:rsidR="00152D5B" w:rsidRPr="000B0A47" w:rsidRDefault="00152D5B" w:rsidP="00A373FD">
            <w:pPr>
              <w:ind w:left="36" w:right="36"/>
              <w:rPr>
                <w:b/>
                <w:bCs/>
                <w:sz w:val="20"/>
              </w:rPr>
            </w:pPr>
            <w:r w:rsidRPr="000B0A47">
              <w:rPr>
                <w:sz w:val="20"/>
              </w:rPr>
              <w:t>IE00B579F325</w:t>
            </w:r>
          </w:p>
        </w:tc>
      </w:tr>
      <w:tr w:rsidR="007260E2" w:rsidRPr="000B0A47" w14:paraId="099CE5A7" w14:textId="77777777" w:rsidTr="00152D5B">
        <w:tc>
          <w:tcPr>
            <w:tcW w:w="1555" w:type="pct"/>
            <w:shd w:val="clear" w:color="auto" w:fill="FFFFFF"/>
          </w:tcPr>
          <w:p w14:paraId="4B95D367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Twórca:</w:t>
            </w:r>
          </w:p>
        </w:tc>
        <w:tc>
          <w:tcPr>
            <w:tcW w:w="3445" w:type="pct"/>
            <w:shd w:val="clear" w:color="auto" w:fill="FFFFFF"/>
          </w:tcPr>
          <w:p w14:paraId="4DDBF042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proofErr w:type="spellStart"/>
            <w:r w:rsidRPr="000B0A47">
              <w:rPr>
                <w:sz w:val="20"/>
              </w:rPr>
              <w:t>Invesco</w:t>
            </w:r>
            <w:proofErr w:type="spellEnd"/>
            <w:r w:rsidRPr="000B0A47">
              <w:rPr>
                <w:sz w:val="20"/>
              </w:rPr>
              <w:t xml:space="preserve"> </w:t>
            </w:r>
            <w:proofErr w:type="spellStart"/>
            <w:r w:rsidRPr="000B0A47">
              <w:rPr>
                <w:sz w:val="20"/>
              </w:rPr>
              <w:t>Physical</w:t>
            </w:r>
            <w:proofErr w:type="spellEnd"/>
            <w:r w:rsidRPr="000B0A47">
              <w:rPr>
                <w:sz w:val="20"/>
              </w:rPr>
              <w:t xml:space="preserve"> </w:t>
            </w:r>
            <w:proofErr w:type="spellStart"/>
            <w:r w:rsidRPr="000B0A47">
              <w:rPr>
                <w:sz w:val="20"/>
              </w:rPr>
              <w:t>Markets</w:t>
            </w:r>
            <w:proofErr w:type="spellEnd"/>
            <w:r w:rsidRPr="000B0A47">
              <w:rPr>
                <w:sz w:val="20"/>
              </w:rPr>
              <w:t xml:space="preserve"> </w:t>
            </w:r>
            <w:proofErr w:type="spellStart"/>
            <w:r w:rsidRPr="000B0A47">
              <w:rPr>
                <w:sz w:val="20"/>
              </w:rPr>
              <w:t>plc</w:t>
            </w:r>
            <w:proofErr w:type="spellEnd"/>
          </w:p>
        </w:tc>
      </w:tr>
      <w:tr w:rsidR="007260E2" w:rsidRPr="000B0A47" w14:paraId="07CE0296" w14:textId="77777777" w:rsidTr="00152D5B">
        <w:tc>
          <w:tcPr>
            <w:tcW w:w="1555" w:type="pct"/>
            <w:shd w:val="clear" w:color="auto" w:fill="FFFFFF"/>
          </w:tcPr>
          <w:p w14:paraId="6322EAB1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Właściwy organ:</w:t>
            </w:r>
          </w:p>
        </w:tc>
        <w:tc>
          <w:tcPr>
            <w:tcW w:w="3445" w:type="pct"/>
            <w:shd w:val="clear" w:color="auto" w:fill="FFFFFF"/>
          </w:tcPr>
          <w:p w14:paraId="4D927CE4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Bank Centralny Irlandii</w:t>
            </w:r>
          </w:p>
        </w:tc>
      </w:tr>
      <w:tr w:rsidR="007260E2" w:rsidRPr="000B0A47" w14:paraId="4F1F40D2" w14:textId="77777777" w:rsidTr="00152D5B">
        <w:tc>
          <w:tcPr>
            <w:tcW w:w="1555" w:type="pct"/>
            <w:shd w:val="clear" w:color="auto" w:fill="FFFFFF"/>
          </w:tcPr>
          <w:p w14:paraId="0545DA1C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Dane kontaktowe:</w:t>
            </w:r>
          </w:p>
        </w:tc>
        <w:tc>
          <w:tcPr>
            <w:tcW w:w="3445" w:type="pct"/>
            <w:shd w:val="clear" w:color="auto" w:fill="FFFFFF"/>
          </w:tcPr>
          <w:p w14:paraId="63CD1EB0" w14:textId="51912026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 xml:space="preserve">e-mail: </w:t>
            </w:r>
            <w:hyperlink r:id="rId6" w:history="1">
              <w:r w:rsidRPr="000B0A47">
                <w:rPr>
                  <w:sz w:val="20"/>
                </w:rPr>
                <w:t>Invest@invesco.com</w:t>
              </w:r>
            </w:hyperlink>
            <w:r w:rsidRPr="000B0A47">
              <w:rPr>
                <w:sz w:val="20"/>
              </w:rPr>
              <w:t xml:space="preserve">, telefon: +44 020 3370 1100 lub witryna internetowa: </w:t>
            </w:r>
            <w:hyperlink r:id="rId7" w:history="1">
              <w:r w:rsidRPr="000B0A47">
                <w:rPr>
                  <w:sz w:val="20"/>
                </w:rPr>
                <w:t>https://etf.invesco.com</w:t>
              </w:r>
            </w:hyperlink>
          </w:p>
        </w:tc>
      </w:tr>
      <w:tr w:rsidR="007260E2" w:rsidRPr="000B0A47" w14:paraId="7F7FD4E6" w14:textId="77777777" w:rsidTr="00152D5B">
        <w:tc>
          <w:tcPr>
            <w:tcW w:w="5000" w:type="pct"/>
            <w:gridSpan w:val="2"/>
            <w:shd w:val="clear" w:color="auto" w:fill="FFFFFF"/>
          </w:tcPr>
          <w:p w14:paraId="7D068DEE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Niniejsze kluczowe informacje są aktualne na 1 stycznia 2023 r.</w:t>
            </w:r>
          </w:p>
        </w:tc>
      </w:tr>
      <w:tr w:rsidR="007260E2" w:rsidRPr="000B0A47" w14:paraId="2D7D79A1" w14:textId="77777777" w:rsidTr="00152D5B">
        <w:tc>
          <w:tcPr>
            <w:tcW w:w="1555" w:type="pct"/>
            <w:tcBorders>
              <w:top w:val="single" w:sz="4" w:space="0" w:color="auto"/>
            </w:tcBorders>
            <w:shd w:val="clear" w:color="auto" w:fill="FFFFFF"/>
          </w:tcPr>
          <w:p w14:paraId="66177C0E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Co to za produkt?</w:t>
            </w:r>
          </w:p>
        </w:tc>
        <w:tc>
          <w:tcPr>
            <w:tcW w:w="3445" w:type="pct"/>
            <w:tcBorders>
              <w:top w:val="single" w:sz="4" w:space="0" w:color="auto"/>
            </w:tcBorders>
            <w:shd w:val="clear" w:color="auto" w:fill="FFFFFF"/>
          </w:tcPr>
          <w:p w14:paraId="2DFF12B5" w14:textId="77777777" w:rsidR="007260E2" w:rsidRPr="000B0A47" w:rsidRDefault="007260E2" w:rsidP="00A373FD">
            <w:pPr>
              <w:ind w:left="36" w:right="36"/>
              <w:rPr>
                <w:sz w:val="20"/>
                <w:szCs w:val="10"/>
              </w:rPr>
            </w:pPr>
          </w:p>
        </w:tc>
      </w:tr>
      <w:tr w:rsidR="007260E2" w:rsidRPr="000B0A47" w14:paraId="2811E29A" w14:textId="77777777" w:rsidTr="00152D5B">
        <w:tc>
          <w:tcPr>
            <w:tcW w:w="1555" w:type="pct"/>
            <w:shd w:val="clear" w:color="auto" w:fill="FFFFFF"/>
          </w:tcPr>
          <w:p w14:paraId="41AFE117" w14:textId="643932A3" w:rsidR="007260E2" w:rsidRPr="000B0A47" w:rsidRDefault="00600484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  <w:vertAlign w:val="superscript"/>
              </w:rPr>
              <w:t>Rodzaj:</w:t>
            </w:r>
          </w:p>
        </w:tc>
        <w:tc>
          <w:tcPr>
            <w:tcW w:w="3445" w:type="pct"/>
            <w:shd w:val="clear" w:color="auto" w:fill="FFFFFF"/>
          </w:tcPr>
          <w:p w14:paraId="135B13C3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Produkt to instrument typu ETC z fizycznym pokryciem. Są to zabezpieczone certyfikaty z ograniczonym regresem.</w:t>
            </w:r>
          </w:p>
        </w:tc>
      </w:tr>
      <w:tr w:rsidR="007260E2" w:rsidRPr="000B0A47" w14:paraId="24308D8C" w14:textId="77777777" w:rsidTr="00152D5B">
        <w:tc>
          <w:tcPr>
            <w:tcW w:w="1555" w:type="pct"/>
            <w:shd w:val="clear" w:color="auto" w:fill="FFFFFF"/>
          </w:tcPr>
          <w:p w14:paraId="512F01B7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Cele:</w:t>
            </w:r>
          </w:p>
        </w:tc>
        <w:tc>
          <w:tcPr>
            <w:tcW w:w="3445" w:type="pct"/>
            <w:shd w:val="clear" w:color="auto" w:fill="FFFFFF"/>
          </w:tcPr>
          <w:p w14:paraId="1361A62B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 xml:space="preserve">Papiery wartościowe </w:t>
            </w:r>
            <w:proofErr w:type="spellStart"/>
            <w:r w:rsidRPr="000B0A47">
              <w:rPr>
                <w:sz w:val="20"/>
              </w:rPr>
              <w:t>Invesco</w:t>
            </w:r>
            <w:proofErr w:type="spellEnd"/>
            <w:r w:rsidRPr="000B0A47">
              <w:rPr>
                <w:sz w:val="20"/>
              </w:rPr>
              <w:t xml:space="preserve"> </w:t>
            </w:r>
            <w:proofErr w:type="spellStart"/>
            <w:r w:rsidRPr="000B0A47">
              <w:rPr>
                <w:sz w:val="20"/>
              </w:rPr>
              <w:t>Physical</w:t>
            </w:r>
            <w:proofErr w:type="spellEnd"/>
            <w:r w:rsidRPr="000B0A47">
              <w:rPr>
                <w:sz w:val="20"/>
              </w:rPr>
              <w:t xml:space="preserve"> Gold P-ETC są zaprojektowane, by dać inwestorom ekspozycję na cenę spot złota w formie certyfikatów zabezpieczonych złotem kruszcowym. Walutą bazową jest dolar amerykański.</w:t>
            </w:r>
          </w:p>
        </w:tc>
      </w:tr>
      <w:tr w:rsidR="007260E2" w:rsidRPr="000B0A47" w14:paraId="7AE09AD0" w14:textId="77777777" w:rsidTr="00152D5B">
        <w:tc>
          <w:tcPr>
            <w:tcW w:w="1555" w:type="pct"/>
            <w:shd w:val="clear" w:color="auto" w:fill="FFFFFF"/>
          </w:tcPr>
          <w:p w14:paraId="75B30A19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Inwestor, z myślą o którym produkt został wprowadzony do obrotu:</w:t>
            </w:r>
          </w:p>
        </w:tc>
        <w:tc>
          <w:tcPr>
            <w:tcW w:w="3445" w:type="pct"/>
            <w:shd w:val="clear" w:color="auto" w:fill="FFFFFF"/>
          </w:tcPr>
          <w:p w14:paraId="709763E7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Produkt jest z myślą o inwestorach, którzy są gotowi na średnio- lub długoterminowy horyzont inwestycyjny i co najmniej pięcioletnią inwestycję. Inwestor powinien być przygotowany na podjęcie względnie wysokiego ryzyka utraty kapitału początkowego, by osiągnąć wyższą potencjalną stopę zwrotu.</w:t>
            </w:r>
          </w:p>
        </w:tc>
      </w:tr>
      <w:tr w:rsidR="007260E2" w:rsidRPr="000B0A47" w14:paraId="768E7660" w14:textId="77777777" w:rsidTr="00600484">
        <w:tc>
          <w:tcPr>
            <w:tcW w:w="1555" w:type="pct"/>
            <w:tcBorders>
              <w:bottom w:val="single" w:sz="4" w:space="0" w:color="auto"/>
            </w:tcBorders>
            <w:shd w:val="clear" w:color="auto" w:fill="FFFFFF"/>
          </w:tcPr>
          <w:p w14:paraId="15A00E2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Termin zapadalności:</w:t>
            </w:r>
          </w:p>
        </w:tc>
        <w:tc>
          <w:tcPr>
            <w:tcW w:w="3445" w:type="pct"/>
            <w:tcBorders>
              <w:bottom w:val="single" w:sz="4" w:space="0" w:color="auto"/>
            </w:tcBorders>
            <w:shd w:val="clear" w:color="auto" w:fill="FFFFFF"/>
          </w:tcPr>
          <w:p w14:paraId="384CD4DA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Ostateczny termin zapadalności produktu to 31 grudnia 2100 r. Emitent ma prawo do jego wypowiedzenia w ograniczonej liczbie przypadków, które zostały określone w prospekcie emisyjnym.</w:t>
            </w:r>
          </w:p>
        </w:tc>
      </w:tr>
      <w:tr w:rsidR="00600484" w:rsidRPr="000B0A47" w14:paraId="25FBFA47" w14:textId="77777777" w:rsidTr="00600484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5C37212" w14:textId="7DD5D9EB" w:rsidR="00600484" w:rsidRPr="000B0A47" w:rsidRDefault="00600484" w:rsidP="00A373FD">
            <w:pPr>
              <w:ind w:left="36" w:right="36"/>
              <w:rPr>
                <w:sz w:val="20"/>
              </w:rPr>
            </w:pPr>
            <w:bookmarkStart w:id="1" w:name="bookmark0"/>
            <w:bookmarkStart w:id="2" w:name="bookmark1"/>
            <w:r w:rsidRPr="000B0A47">
              <w:rPr>
                <w:b/>
                <w:sz w:val="20"/>
              </w:rPr>
              <w:t>Jakie są ryzyka i możliwe korzyści?</w:t>
            </w:r>
            <w:bookmarkEnd w:id="1"/>
            <w:bookmarkEnd w:id="2"/>
          </w:p>
        </w:tc>
      </w:tr>
      <w:tr w:rsidR="00600484" w:rsidRPr="000B0A47" w14:paraId="5C41DFF0" w14:textId="77777777" w:rsidTr="00152D5B">
        <w:tc>
          <w:tcPr>
            <w:tcW w:w="1555" w:type="pct"/>
            <w:shd w:val="clear" w:color="auto" w:fill="FFFFFF"/>
          </w:tcPr>
          <w:p w14:paraId="36081E0A" w14:textId="5967081E" w:rsidR="00600484" w:rsidRPr="000B0A47" w:rsidRDefault="00600484" w:rsidP="00A373FD">
            <w:pPr>
              <w:ind w:left="36" w:right="36"/>
              <w:rPr>
                <w:b/>
                <w:bCs/>
                <w:sz w:val="20"/>
              </w:rPr>
            </w:pPr>
            <w:bookmarkStart w:id="3" w:name="bookmark2"/>
            <w:bookmarkStart w:id="4" w:name="bookmark3"/>
            <w:r w:rsidRPr="000B0A47">
              <w:rPr>
                <w:b/>
                <w:sz w:val="20"/>
              </w:rPr>
              <w:t>Wskaźnik ryzyka</w:t>
            </w:r>
            <w:bookmarkEnd w:id="3"/>
            <w:bookmarkEnd w:id="4"/>
          </w:p>
        </w:tc>
        <w:tc>
          <w:tcPr>
            <w:tcW w:w="3445" w:type="pct"/>
            <w:shd w:val="clear" w:color="auto" w:fill="FFFFFF"/>
          </w:tcPr>
          <w:p w14:paraId="70753A13" w14:textId="77777777" w:rsidR="00600484" w:rsidRPr="000B0A47" w:rsidRDefault="00600484" w:rsidP="00A373FD">
            <w:pPr>
              <w:ind w:left="36" w:right="36"/>
              <w:rPr>
                <w:sz w:val="20"/>
              </w:rPr>
            </w:pPr>
          </w:p>
        </w:tc>
      </w:tr>
      <w:tr w:rsidR="00600484" w:rsidRPr="000B0A47" w14:paraId="37FB38C4" w14:textId="77777777" w:rsidTr="00600484">
        <w:tc>
          <w:tcPr>
            <w:tcW w:w="5000" w:type="pct"/>
            <w:gridSpan w:val="2"/>
            <w:shd w:val="clear" w:color="auto" w:fill="FFFFFF"/>
          </w:tcPr>
          <w:p w14:paraId="3E328B42" w14:textId="77777777" w:rsidR="00600484" w:rsidRPr="000B0A47" w:rsidRDefault="00600484" w:rsidP="00600484">
            <w:pPr>
              <w:ind w:left="36" w:right="36"/>
              <w:rPr>
                <w:sz w:val="20"/>
              </w:rPr>
            </w:pPr>
            <w:r w:rsidRPr="000B0A47">
              <w:rPr>
                <w:noProof/>
                <w:sz w:val="20"/>
                <w:lang w:eastAsia="pl-PL" w:bidi="ar-SA"/>
              </w:rPr>
              <w:drawing>
                <wp:inline distT="0" distB="0" distL="0" distR="0" wp14:anchorId="36DA43B4" wp14:editId="6E64298E">
                  <wp:extent cx="3224530" cy="511810"/>
                  <wp:effectExtent l="0" t="0" r="0" b="0"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22453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4"/>
              <w:gridCol w:w="6157"/>
            </w:tblGrid>
            <w:tr w:rsidR="00600484" w:rsidRPr="000B0A47" w14:paraId="0111F64A" w14:textId="77777777" w:rsidTr="00600484">
              <w:tc>
                <w:tcPr>
                  <w:tcW w:w="1807" w:type="pct"/>
                  <w:shd w:val="clear" w:color="auto" w:fill="FFFFFF"/>
                </w:tcPr>
                <w:p w14:paraId="55165AA5" w14:textId="77777777" w:rsidR="00600484" w:rsidRPr="000B0A47" w:rsidRDefault="00600484" w:rsidP="00600484">
                  <w:pPr>
                    <w:ind w:left="36" w:right="36"/>
                    <w:rPr>
                      <w:sz w:val="20"/>
                    </w:rPr>
                  </w:pPr>
                  <w:r w:rsidRPr="000B0A47">
                    <w:rPr>
                      <w:b/>
                      <w:sz w:val="20"/>
                    </w:rPr>
                    <w:t>Niższe ryzyko</w:t>
                  </w:r>
                </w:p>
              </w:tc>
              <w:tc>
                <w:tcPr>
                  <w:tcW w:w="3193" w:type="pct"/>
                  <w:shd w:val="clear" w:color="auto" w:fill="FFFFFF"/>
                </w:tcPr>
                <w:p w14:paraId="55A048B4" w14:textId="77777777" w:rsidR="00600484" w:rsidRPr="000B0A47" w:rsidRDefault="00600484" w:rsidP="00600484">
                  <w:pPr>
                    <w:ind w:left="36" w:right="36"/>
                    <w:rPr>
                      <w:sz w:val="20"/>
                    </w:rPr>
                  </w:pPr>
                  <w:r w:rsidRPr="000B0A47">
                    <w:rPr>
                      <w:b/>
                      <w:sz w:val="20"/>
                    </w:rPr>
                    <w:t>Wyższe ryzyko</w:t>
                  </w:r>
                </w:p>
              </w:tc>
            </w:tr>
          </w:tbl>
          <w:p w14:paraId="1A292E49" w14:textId="77777777" w:rsidR="00600484" w:rsidRPr="000B0A47" w:rsidRDefault="00600484" w:rsidP="00600484">
            <w:pPr>
              <w:ind w:left="36" w:right="36"/>
              <w:rPr>
                <w:sz w:val="20"/>
              </w:rPr>
            </w:pPr>
          </w:p>
          <w:p w14:paraId="4304AF15" w14:textId="39AAEECA" w:rsidR="00600484" w:rsidRPr="000B0A47" w:rsidRDefault="00600484" w:rsidP="00600484">
            <w:pPr>
              <w:spacing w:before="240"/>
              <w:rPr>
                <w:sz w:val="20"/>
              </w:rPr>
            </w:pPr>
            <w:r w:rsidRPr="000B0A47">
              <w:rPr>
                <w:noProof/>
                <w:sz w:val="20"/>
                <w:lang w:eastAsia="pl-PL" w:bidi="ar-SA"/>
              </w:rPr>
              <w:drawing>
                <wp:inline distT="0" distB="0" distL="0" distR="0" wp14:anchorId="5DCAB8B7" wp14:editId="451D1B06">
                  <wp:extent cx="725170" cy="591185"/>
                  <wp:effectExtent l="0" t="0" r="0" b="0"/>
                  <wp:docPr id="2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72517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B0A47">
              <w:rPr>
                <w:sz w:val="20"/>
              </w:rPr>
              <w:t>Wskaźnik ryzyka zakłada posiadanie produktu przez 5 lat. Jeżeli inwestor spienięży inwestycję na wczesnym etapie, faktyczne ryzyko może znacznie odbiegać od powyższego, a kwota uzyskana z inwestycji może być niższa.</w:t>
            </w:r>
          </w:p>
          <w:p w14:paraId="25BD8FFF" w14:textId="77777777" w:rsidR="00600484" w:rsidRPr="000B0A47" w:rsidRDefault="00600484" w:rsidP="00600484">
            <w:pPr>
              <w:spacing w:before="240"/>
              <w:rPr>
                <w:sz w:val="20"/>
              </w:rPr>
            </w:pPr>
            <w:r w:rsidRPr="000B0A47">
              <w:rPr>
                <w:sz w:val="20"/>
              </w:rPr>
              <w:t>Ogólny wskaźnik ryzyka wskazuje poziom ryzyka związanego z produktem w porównaniu z innymi produktami. Pokazuje on prawdopodobieństwo utraty środków z tytułu produktu z uwagi na zachowanie rynku lub naszą niezdolność do dokonania wypłaty na rzecz inwestora.</w:t>
            </w:r>
          </w:p>
          <w:p w14:paraId="7449FB88" w14:textId="77777777" w:rsidR="00600484" w:rsidRPr="000B0A47" w:rsidRDefault="00600484" w:rsidP="00600484">
            <w:pPr>
              <w:spacing w:before="240"/>
              <w:rPr>
                <w:sz w:val="20"/>
              </w:rPr>
            </w:pPr>
            <w:r w:rsidRPr="000B0A47">
              <w:rPr>
                <w:sz w:val="20"/>
              </w:rPr>
              <w:t>Ryzyko związane z produktem określamy na 5 w skali 1–7, co oznacza średniowysoką klasę ryzyka. Potencjalne straty z tytułu przyszłych wyników są zatem średniowysokie, a niekorzystne warunki rynkowe prawdopodobnie wpłyną na zdolność uzyskania przez inwestora dodatniej stopy zwrotu z inwestycji.</w:t>
            </w:r>
          </w:p>
          <w:p w14:paraId="55437EB3" w14:textId="77777777" w:rsidR="00600484" w:rsidRPr="000B0A47" w:rsidRDefault="00600484" w:rsidP="00600484">
            <w:pPr>
              <w:spacing w:before="240"/>
              <w:rPr>
                <w:sz w:val="20"/>
              </w:rPr>
            </w:pPr>
            <w:r w:rsidRPr="000B0A47">
              <w:rPr>
                <w:sz w:val="20"/>
              </w:rPr>
              <w:t>Jeżeli emitent nie będzie w stanie wypłacić wskazanego zwrotu z inwestycji, do spłaty inwestorów zostanie wykorzystane złoto. Inwestorom nie będą przysługiwały żadne roszczenia w stosunku do pozostałego majątku emitenta.</w:t>
            </w:r>
          </w:p>
          <w:p w14:paraId="19608141" w14:textId="77777777" w:rsidR="00600484" w:rsidRPr="000B0A47" w:rsidRDefault="00600484" w:rsidP="00600484">
            <w:pPr>
              <w:spacing w:before="240"/>
              <w:rPr>
                <w:sz w:val="20"/>
              </w:rPr>
            </w:pPr>
            <w:r w:rsidRPr="000B0A47">
              <w:rPr>
                <w:sz w:val="20"/>
              </w:rPr>
              <w:t xml:space="preserve">Informacje na temat wszelkich istotnych </w:t>
            </w:r>
            <w:proofErr w:type="spellStart"/>
            <w:r w:rsidRPr="000B0A47">
              <w:rPr>
                <w:sz w:val="20"/>
              </w:rPr>
              <w:t>ryzyk</w:t>
            </w:r>
            <w:proofErr w:type="spellEnd"/>
            <w:r w:rsidRPr="000B0A47">
              <w:rPr>
                <w:sz w:val="20"/>
              </w:rPr>
              <w:t xml:space="preserve"> znajdują się w prospekcie emisyjnym.</w:t>
            </w:r>
          </w:p>
          <w:p w14:paraId="264B677E" w14:textId="77777777" w:rsidR="00600484" w:rsidRPr="000B0A47" w:rsidRDefault="00600484" w:rsidP="00600484">
            <w:pPr>
              <w:spacing w:before="240"/>
              <w:rPr>
                <w:sz w:val="20"/>
              </w:rPr>
            </w:pPr>
            <w:r w:rsidRPr="000B0A47">
              <w:rPr>
                <w:sz w:val="20"/>
              </w:rPr>
              <w:lastRenderedPageBreak/>
              <w:t>Produkt nie obejmuje ochrony przed zachowaniem rynku w przyszłości, możliwa jest więc utrata całości lub części inwestycji.</w:t>
            </w:r>
          </w:p>
          <w:p w14:paraId="2134D40E" w14:textId="77777777" w:rsidR="00600484" w:rsidRPr="000B0A47" w:rsidRDefault="00600484" w:rsidP="00600484">
            <w:pPr>
              <w:spacing w:before="240"/>
              <w:jc w:val="both"/>
              <w:rPr>
                <w:sz w:val="20"/>
              </w:rPr>
            </w:pPr>
            <w:r w:rsidRPr="000B0A47">
              <w:rPr>
                <w:b/>
                <w:sz w:val="20"/>
              </w:rPr>
              <w:t>Informacje o wynikach inwestycyjnych</w:t>
            </w:r>
          </w:p>
          <w:p w14:paraId="02B7ED7D" w14:textId="77777777" w:rsidR="00600484" w:rsidRPr="000B0A47" w:rsidRDefault="00600484" w:rsidP="00600484">
            <w:pPr>
              <w:spacing w:before="240"/>
              <w:jc w:val="both"/>
              <w:rPr>
                <w:sz w:val="20"/>
              </w:rPr>
            </w:pPr>
            <w:r w:rsidRPr="000B0A47">
              <w:rPr>
                <w:sz w:val="20"/>
              </w:rPr>
              <w:t>Zwrot inwestora zależy od zwrotu na certyfikatach. Ponieważ certyfikaty mają pełne pokrycie w fizycznym złocie, wyniki certyfikatów zależą od zmian ceny złota.</w:t>
            </w:r>
          </w:p>
          <w:p w14:paraId="651E8410" w14:textId="77777777" w:rsidR="00600484" w:rsidRPr="000B0A47" w:rsidRDefault="00600484" w:rsidP="00600484">
            <w:pPr>
              <w:spacing w:before="240"/>
              <w:jc w:val="both"/>
              <w:rPr>
                <w:sz w:val="20"/>
              </w:rPr>
            </w:pPr>
            <w:r w:rsidRPr="000B0A47">
              <w:rPr>
                <w:sz w:val="20"/>
              </w:rPr>
              <w:t xml:space="preserve">Wskaźnikiem referencyjnym dla certyfikatu jest popołudniowa cena aukcyjna złota London </w:t>
            </w:r>
            <w:proofErr w:type="spellStart"/>
            <w:r w:rsidRPr="000B0A47">
              <w:rPr>
                <w:sz w:val="20"/>
              </w:rPr>
              <w:t>Bullion</w:t>
            </w:r>
            <w:proofErr w:type="spellEnd"/>
            <w:r w:rsidRPr="000B0A47">
              <w:rPr>
                <w:sz w:val="20"/>
              </w:rPr>
              <w:t xml:space="preserve"> Market </w:t>
            </w:r>
            <w:proofErr w:type="spellStart"/>
            <w:r w:rsidRPr="000B0A47">
              <w:rPr>
                <w:sz w:val="20"/>
              </w:rPr>
              <w:t>Association</w:t>
            </w:r>
            <w:proofErr w:type="spellEnd"/>
            <w:r w:rsidRPr="000B0A47">
              <w:rPr>
                <w:sz w:val="20"/>
              </w:rPr>
              <w:t xml:space="preserve">. Certyfikaty mają pokrycie w fizycznym złocie, które jest kupowane w momencie emisji certyfikatów. Certyfikaty są wyceniane codziennie na podstawie odpowiadającego im prawa do złota oraz popołudniowej ceny aukcyjnej złota London </w:t>
            </w:r>
            <w:proofErr w:type="spellStart"/>
            <w:r w:rsidRPr="000B0A47">
              <w:rPr>
                <w:sz w:val="20"/>
              </w:rPr>
              <w:t>Bullion</w:t>
            </w:r>
            <w:proofErr w:type="spellEnd"/>
            <w:r w:rsidRPr="000B0A47">
              <w:rPr>
                <w:sz w:val="20"/>
              </w:rPr>
              <w:t xml:space="preserve"> Market </w:t>
            </w:r>
            <w:proofErr w:type="spellStart"/>
            <w:r w:rsidRPr="000B0A47">
              <w:rPr>
                <w:sz w:val="20"/>
              </w:rPr>
              <w:t>Association</w:t>
            </w:r>
            <w:proofErr w:type="spellEnd"/>
            <w:r w:rsidRPr="000B0A47">
              <w:rPr>
                <w:sz w:val="20"/>
              </w:rPr>
              <w:t>, która ściśle podąża za zmianami cen złota minus koszty. W związku z tym wyniki i zmienność certyfikatów oraz wskaźnika referencyjnego są bardzo zbliżone.</w:t>
            </w:r>
          </w:p>
          <w:p w14:paraId="5EBD47BC" w14:textId="433449C9" w:rsidR="00600484" w:rsidRPr="000B0A47" w:rsidRDefault="00600484" w:rsidP="00600484">
            <w:pPr>
              <w:spacing w:before="240"/>
              <w:jc w:val="both"/>
              <w:rPr>
                <w:sz w:val="20"/>
              </w:rPr>
            </w:pPr>
            <w:r w:rsidRPr="000B0A47">
              <w:rPr>
                <w:sz w:val="20"/>
              </w:rPr>
              <w:t>Gdy cena złota rośnie, wzrasta również wartość certyfikatów. Na cenę złota wpływają różne czynniki, w tym zmiany stóp procentowych, wahania kursowe, inflacja i zmiany w innych klasach aktywów, przy czym złoto jest często postrzegane jako zabezpieczenie wartości w okresach osłabienia gospodarczego. Wszystkie te czynniki będą mieć wpływ na podaż (wydobycie i odzysk) i popyt (inwestorzy, konsumenci i przemysł) na ten metal szlachetny, co z kolei wpłynie na jego cenę.</w:t>
            </w:r>
          </w:p>
          <w:p w14:paraId="1E75D3B0" w14:textId="77777777" w:rsidR="00600484" w:rsidRPr="000B0A47" w:rsidRDefault="00600484" w:rsidP="00600484">
            <w:pPr>
              <w:spacing w:before="240"/>
              <w:jc w:val="both"/>
              <w:rPr>
                <w:sz w:val="20"/>
              </w:rPr>
            </w:pPr>
            <w:r w:rsidRPr="000B0A47">
              <w:rPr>
                <w:sz w:val="20"/>
              </w:rPr>
              <w:t>Gdy cena złota spada, spada również wartość certyfikatów.</w:t>
            </w:r>
          </w:p>
          <w:p w14:paraId="6878BD94" w14:textId="47FF838E" w:rsidR="00600484" w:rsidRPr="000B0A47" w:rsidRDefault="00600484" w:rsidP="00600484">
            <w:pPr>
              <w:spacing w:before="240"/>
              <w:rPr>
                <w:sz w:val="20"/>
              </w:rPr>
            </w:pPr>
            <w:r w:rsidRPr="000B0A47">
              <w:rPr>
                <w:sz w:val="20"/>
              </w:rPr>
              <w:t>Jeżeli inwestor sprzeda swoją inwestycję w okresie niekorzystnych dla złota warunków rynkowych, prawdopodobnie poniesie stratę lub uzyska bardzo niski zwrot z inwestycji. 31 grudnia 2100 r., w ostatecznym terminie zapadalności, wszelkie certyfikaty, które nie zostały wcześniej sprzedane lub wykupione, zostaną wykupione. Złoto zostanie w tym dniu sprzedane po obowiązującej cenie rynkowej, co określi cenę wykupu certyfikatów.</w:t>
            </w:r>
          </w:p>
          <w:p w14:paraId="25834503" w14:textId="35CE0E30" w:rsidR="00600484" w:rsidRPr="000B0A47" w:rsidRDefault="00600484" w:rsidP="00600484">
            <w:pPr>
              <w:ind w:left="36" w:right="36"/>
              <w:rPr>
                <w:sz w:val="20"/>
              </w:rPr>
            </w:pPr>
          </w:p>
        </w:tc>
      </w:tr>
    </w:tbl>
    <w:p w14:paraId="38BADEC7" w14:textId="50D1F1C4" w:rsidR="007260E2" w:rsidRPr="000B0A47" w:rsidRDefault="007260E2" w:rsidP="00A373FD">
      <w:pPr>
        <w:spacing w:before="240"/>
        <w:jc w:val="both"/>
        <w:rPr>
          <w:sz w:val="20"/>
        </w:rPr>
      </w:pPr>
    </w:p>
    <w:tbl>
      <w:tblPr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5"/>
      </w:tblGrid>
      <w:tr w:rsidR="007260E2" w:rsidRPr="000B0A47" w14:paraId="71E6B1F4" w14:textId="77777777" w:rsidTr="00A373FD"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14:paraId="74015354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 xml:space="preserve">Co się stanie, jeśli </w:t>
            </w:r>
            <w:proofErr w:type="spellStart"/>
            <w:r w:rsidRPr="000B0A47">
              <w:rPr>
                <w:b/>
                <w:sz w:val="20"/>
              </w:rPr>
              <w:t>Invesco</w:t>
            </w:r>
            <w:proofErr w:type="spellEnd"/>
            <w:r w:rsidRPr="000B0A47">
              <w:rPr>
                <w:b/>
                <w:sz w:val="20"/>
              </w:rPr>
              <w:t xml:space="preserve"> </w:t>
            </w:r>
            <w:proofErr w:type="spellStart"/>
            <w:r w:rsidRPr="000B0A47">
              <w:rPr>
                <w:b/>
                <w:sz w:val="20"/>
              </w:rPr>
              <w:t>Physical</w:t>
            </w:r>
            <w:proofErr w:type="spellEnd"/>
            <w:r w:rsidRPr="000B0A47">
              <w:rPr>
                <w:b/>
                <w:sz w:val="20"/>
              </w:rPr>
              <w:t xml:space="preserve"> </w:t>
            </w:r>
            <w:proofErr w:type="spellStart"/>
            <w:r w:rsidRPr="000B0A47">
              <w:rPr>
                <w:b/>
                <w:sz w:val="20"/>
              </w:rPr>
              <w:t>Markets</w:t>
            </w:r>
            <w:proofErr w:type="spellEnd"/>
            <w:r w:rsidRPr="000B0A47">
              <w:rPr>
                <w:b/>
                <w:sz w:val="20"/>
              </w:rPr>
              <w:t xml:space="preserve"> PLC nie ma możliwości wypłaty?</w:t>
            </w:r>
          </w:p>
        </w:tc>
      </w:tr>
      <w:tr w:rsidR="00600484" w:rsidRPr="000B0A47" w14:paraId="212F2954" w14:textId="77777777" w:rsidTr="00600484">
        <w:trPr>
          <w:trHeight w:val="325"/>
        </w:trPr>
        <w:tc>
          <w:tcPr>
            <w:tcW w:w="5000" w:type="pct"/>
            <w:shd w:val="clear" w:color="auto" w:fill="FFFFFF"/>
          </w:tcPr>
          <w:p w14:paraId="3A45C1F8" w14:textId="3BDAE951" w:rsidR="00600484" w:rsidRPr="000B0A47" w:rsidRDefault="00600484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 xml:space="preserve">Inwestor może ponieść stratę finansową, jeżeli twórca lub powiernik, tzn. </w:t>
            </w:r>
            <w:proofErr w:type="spellStart"/>
            <w:r w:rsidRPr="000B0A47">
              <w:rPr>
                <w:sz w:val="20"/>
              </w:rPr>
              <w:t>JPMorgan</w:t>
            </w:r>
            <w:proofErr w:type="spellEnd"/>
            <w:r w:rsidRPr="000B0A47">
              <w:rPr>
                <w:sz w:val="20"/>
              </w:rPr>
              <w:t xml:space="preserve"> Chase Bank, N.A., nie wypełnią wobec niego zobowiązań.</w:t>
            </w:r>
          </w:p>
        </w:tc>
      </w:tr>
      <w:tr w:rsidR="007260E2" w:rsidRPr="000B0A47" w14:paraId="11CC9426" w14:textId="77777777" w:rsidTr="00A373FD">
        <w:tc>
          <w:tcPr>
            <w:tcW w:w="5000" w:type="pct"/>
            <w:shd w:val="clear" w:color="auto" w:fill="FFFFFF"/>
          </w:tcPr>
          <w:p w14:paraId="1833AEFB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Produkt nie jest objęty programem odszkodowawczym ani gwarancyjnym, w ramach którego strata inwestora zostałaby w całości lub w części zrekompensowana.</w:t>
            </w:r>
          </w:p>
        </w:tc>
      </w:tr>
    </w:tbl>
    <w:p w14:paraId="705C3BC9" w14:textId="77777777" w:rsidR="007260E2" w:rsidRPr="000B0A47" w:rsidRDefault="007260E2" w:rsidP="00A373FD">
      <w:pPr>
        <w:spacing w:before="240"/>
        <w:jc w:val="both"/>
        <w:rPr>
          <w:sz w:val="20"/>
        </w:rPr>
      </w:pPr>
    </w:p>
    <w:tbl>
      <w:tblPr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7"/>
        <w:gridCol w:w="8"/>
      </w:tblGrid>
      <w:tr w:rsidR="007260E2" w:rsidRPr="000B0A47" w14:paraId="3353497A" w14:textId="77777777" w:rsidTr="00A373FD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D6E80E3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Jakie są koszty?</w:t>
            </w:r>
          </w:p>
        </w:tc>
      </w:tr>
      <w:tr w:rsidR="00600484" w:rsidRPr="000B0A47" w14:paraId="50A43083" w14:textId="77777777" w:rsidTr="00600484">
        <w:trPr>
          <w:trHeight w:val="1182"/>
        </w:trPr>
        <w:tc>
          <w:tcPr>
            <w:tcW w:w="5000" w:type="pct"/>
            <w:gridSpan w:val="2"/>
            <w:shd w:val="clear" w:color="auto" w:fill="FFFFFF"/>
          </w:tcPr>
          <w:p w14:paraId="7959C9C6" w14:textId="340F6F3D" w:rsidR="00600484" w:rsidRPr="000B0A47" w:rsidRDefault="00600484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 xml:space="preserve">Wskaźnik obniżenia rentowności (ang. </w:t>
            </w:r>
            <w:proofErr w:type="spellStart"/>
            <w:r w:rsidRPr="000B0A47">
              <w:rPr>
                <w:sz w:val="20"/>
              </w:rPr>
              <w:t>Reduction</w:t>
            </w:r>
            <w:proofErr w:type="spellEnd"/>
            <w:r w:rsidRPr="000B0A47">
              <w:rPr>
                <w:sz w:val="20"/>
              </w:rPr>
              <w:t xml:space="preserve"> in </w:t>
            </w:r>
            <w:proofErr w:type="spellStart"/>
            <w:r w:rsidRPr="000B0A47">
              <w:rPr>
                <w:sz w:val="20"/>
              </w:rPr>
              <w:t>Yield</w:t>
            </w:r>
            <w:proofErr w:type="spellEnd"/>
            <w:r w:rsidRPr="000B0A47">
              <w:rPr>
                <w:sz w:val="20"/>
              </w:rPr>
              <w:t>, „RIY”) pokazuje, jaki wpływ będą miały całkowite koszty ponoszone przez inwestora na potencjalny zwrot z inwestycji. Całkowite koszty obejmują koszty jednorazowe, ponoszone stale i dodatkowe. Wskazane poniżej kwoty stanowią skumulowane koszty samego produktu dla trzech różnych okresów posiadania. Obejmują one potencjalne kary za wyjście z inwestycji przed terminem.</w:t>
            </w:r>
          </w:p>
          <w:p w14:paraId="1D368BF6" w14:textId="049EB5A2" w:rsidR="00600484" w:rsidRPr="000B0A47" w:rsidRDefault="00600484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Podane są dla zakładanej wysokości inwestycji 10 000 USD. Są to dane szacunkowe, które mogą ulec zmianie w przyszłości.</w:t>
            </w:r>
          </w:p>
        </w:tc>
      </w:tr>
      <w:tr w:rsidR="007260E2" w:rsidRPr="000B0A47" w14:paraId="3AE93AFE" w14:textId="77777777" w:rsidTr="00A373FD">
        <w:trPr>
          <w:gridAfter w:val="1"/>
          <w:wAfter w:w="4" w:type="pct"/>
        </w:trPr>
        <w:tc>
          <w:tcPr>
            <w:tcW w:w="4996" w:type="pct"/>
            <w:tcBorders>
              <w:top w:val="single" w:sz="4" w:space="0" w:color="auto"/>
            </w:tcBorders>
            <w:shd w:val="clear" w:color="auto" w:fill="FFFFFF"/>
          </w:tcPr>
          <w:p w14:paraId="72FBA4AB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Tabela 1: koszty w czasie</w:t>
            </w:r>
          </w:p>
        </w:tc>
      </w:tr>
      <w:tr w:rsidR="00600484" w:rsidRPr="000B0A47" w14:paraId="41F7B950" w14:textId="77777777" w:rsidTr="00600484">
        <w:trPr>
          <w:gridAfter w:val="1"/>
          <w:wAfter w:w="4" w:type="pct"/>
          <w:trHeight w:val="748"/>
        </w:trPr>
        <w:tc>
          <w:tcPr>
            <w:tcW w:w="4996" w:type="pct"/>
            <w:shd w:val="clear" w:color="auto" w:fill="FFFFFF"/>
          </w:tcPr>
          <w:p w14:paraId="2088FA51" w14:textId="1B69F157" w:rsidR="00600484" w:rsidRPr="000B0A47" w:rsidRDefault="00600484" w:rsidP="00600484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Osoba sprzedająca inwestorowi niniejszy produkt lub doradzająca mu w jego zakresie może obciążyć go dodatkowymi kosztami. Poinformuje go ona wówczas o takich kosztach oraz wskaże wpływ wszystkich kosztów na inwestycję w czasie.</w:t>
            </w:r>
          </w:p>
        </w:tc>
      </w:tr>
    </w:tbl>
    <w:p w14:paraId="78A59C84" w14:textId="77777777" w:rsidR="007260E2" w:rsidRPr="000B0A47" w:rsidRDefault="007260E2" w:rsidP="00A373FD">
      <w:pPr>
        <w:spacing w:before="240"/>
        <w:jc w:val="both"/>
        <w:rPr>
          <w:sz w:val="20"/>
        </w:rPr>
      </w:pPr>
    </w:p>
    <w:tbl>
      <w:tblPr>
        <w:tblOverlap w:val="never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72"/>
        <w:gridCol w:w="1992"/>
        <w:gridCol w:w="2406"/>
        <w:gridCol w:w="2585"/>
      </w:tblGrid>
      <w:tr w:rsidR="00600484" w:rsidRPr="000B0A47" w14:paraId="333B6DAC" w14:textId="77777777" w:rsidTr="00600484">
        <w:tc>
          <w:tcPr>
            <w:tcW w:w="1421" w:type="pct"/>
            <w:tcBorders>
              <w:top w:val="single" w:sz="4" w:space="0" w:color="auto"/>
            </w:tcBorders>
            <w:shd w:val="clear" w:color="auto" w:fill="FFFFFF"/>
          </w:tcPr>
          <w:p w14:paraId="332A3386" w14:textId="75E32333" w:rsidR="007260E2" w:rsidRPr="000B0A47" w:rsidRDefault="000B0A47" w:rsidP="00600484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Scenariusze inwestycyjne (10 000 USD)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FFFFFF"/>
          </w:tcPr>
          <w:p w14:paraId="35D6134C" w14:textId="55BE056E" w:rsidR="007260E2" w:rsidRPr="000B0A47" w:rsidRDefault="000B0A47" w:rsidP="00600484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Spieniężenie po 1 roku</w:t>
            </w:r>
          </w:p>
        </w:tc>
        <w:tc>
          <w:tcPr>
            <w:tcW w:w="1233" w:type="pct"/>
            <w:tcBorders>
              <w:top w:val="single" w:sz="4" w:space="0" w:color="auto"/>
            </w:tcBorders>
            <w:shd w:val="clear" w:color="auto" w:fill="FFFFFF"/>
          </w:tcPr>
          <w:p w14:paraId="08CE7032" w14:textId="51BDE89C" w:rsidR="007260E2" w:rsidRPr="000B0A47" w:rsidRDefault="000B0A47" w:rsidP="00600484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Spieniężenie po połowie zalecanego okresu 5 lat (po 3 latach)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shd w:val="clear" w:color="auto" w:fill="FFFFFF"/>
          </w:tcPr>
          <w:p w14:paraId="54E012BB" w14:textId="7D919996" w:rsidR="007260E2" w:rsidRPr="000B0A47" w:rsidRDefault="000B0A47" w:rsidP="00600484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Spieniężenie po zalecanym okresie 5 lat</w:t>
            </w:r>
          </w:p>
        </w:tc>
      </w:tr>
      <w:tr w:rsidR="00600484" w:rsidRPr="000B0A47" w14:paraId="15AF9524" w14:textId="77777777" w:rsidTr="00600484">
        <w:tc>
          <w:tcPr>
            <w:tcW w:w="1421" w:type="pct"/>
            <w:tcBorders>
              <w:bottom w:val="single" w:sz="4" w:space="0" w:color="auto"/>
            </w:tcBorders>
            <w:shd w:val="clear" w:color="auto" w:fill="FFFFFF"/>
          </w:tcPr>
          <w:p w14:paraId="68A8D9B1" w14:textId="2AA26194" w:rsidR="00600484" w:rsidRPr="000B0A47" w:rsidRDefault="00600484" w:rsidP="00A373FD">
            <w:pPr>
              <w:ind w:left="36" w:right="36"/>
              <w:rPr>
                <w:b/>
                <w:bCs/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Całkowite koszty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FFFF"/>
          </w:tcPr>
          <w:p w14:paraId="30B440E8" w14:textId="41DFAD8B" w:rsidR="00600484" w:rsidRPr="000B0A47" w:rsidRDefault="00600484" w:rsidP="00A373FD">
            <w:pPr>
              <w:ind w:left="36" w:right="36"/>
              <w:rPr>
                <w:b/>
                <w:bCs/>
                <w:color w:val="auto"/>
                <w:sz w:val="20"/>
              </w:rPr>
            </w:pPr>
            <w:r w:rsidRPr="000B0A47">
              <w:rPr>
                <w:color w:val="auto"/>
                <w:sz w:val="20"/>
              </w:rPr>
              <w:t>12,25 USD</w:t>
            </w:r>
          </w:p>
        </w:tc>
        <w:tc>
          <w:tcPr>
            <w:tcW w:w="1233" w:type="pct"/>
            <w:tcBorders>
              <w:bottom w:val="single" w:sz="4" w:space="0" w:color="auto"/>
            </w:tcBorders>
            <w:shd w:val="clear" w:color="auto" w:fill="FFFFFF"/>
          </w:tcPr>
          <w:p w14:paraId="0E2AC373" w14:textId="6DE9A425" w:rsidR="00600484" w:rsidRPr="000B0A47" w:rsidRDefault="00600484" w:rsidP="00A373FD">
            <w:pPr>
              <w:ind w:left="36" w:right="36"/>
              <w:rPr>
                <w:b/>
                <w:bCs/>
                <w:color w:val="auto"/>
                <w:sz w:val="20"/>
              </w:rPr>
            </w:pPr>
            <w:r w:rsidRPr="000B0A47">
              <w:rPr>
                <w:color w:val="auto"/>
                <w:sz w:val="20"/>
              </w:rPr>
              <w:t>39,85 USD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FFFFFF"/>
          </w:tcPr>
          <w:p w14:paraId="1998CAFA" w14:textId="52A9A8CF" w:rsidR="00600484" w:rsidRPr="000B0A47" w:rsidRDefault="00600484" w:rsidP="00A373FD">
            <w:pPr>
              <w:ind w:left="36" w:right="36"/>
              <w:rPr>
                <w:b/>
                <w:bCs/>
                <w:color w:val="auto"/>
                <w:sz w:val="20"/>
              </w:rPr>
            </w:pPr>
            <w:r w:rsidRPr="000B0A47">
              <w:rPr>
                <w:color w:val="auto"/>
                <w:sz w:val="20"/>
              </w:rPr>
              <w:t>71,98 USD</w:t>
            </w:r>
          </w:p>
        </w:tc>
      </w:tr>
      <w:tr w:rsidR="00600484" w:rsidRPr="000B0A47" w14:paraId="4C63E072" w14:textId="77777777" w:rsidTr="00600484">
        <w:tc>
          <w:tcPr>
            <w:tcW w:w="1421" w:type="pct"/>
            <w:tcBorders>
              <w:top w:val="single" w:sz="4" w:space="0" w:color="auto"/>
            </w:tcBorders>
            <w:shd w:val="clear" w:color="auto" w:fill="FFFFFF"/>
          </w:tcPr>
          <w:p w14:paraId="09EB1BE1" w14:textId="77777777" w:rsidR="007260E2" w:rsidRPr="000B0A47" w:rsidRDefault="000B0A47" w:rsidP="00A373FD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Wpływ na rentowność (RIY) rocznie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FFFFFF"/>
          </w:tcPr>
          <w:p w14:paraId="1B9949A7" w14:textId="77777777" w:rsidR="007260E2" w:rsidRPr="000B0A47" w:rsidRDefault="000B0A47" w:rsidP="00A373FD">
            <w:pPr>
              <w:ind w:left="36" w:right="36"/>
              <w:rPr>
                <w:color w:val="auto"/>
                <w:sz w:val="20"/>
              </w:rPr>
            </w:pPr>
            <w:r w:rsidRPr="000B0A47">
              <w:rPr>
                <w:color w:val="auto"/>
                <w:sz w:val="20"/>
              </w:rPr>
              <w:t>0,12%</w:t>
            </w:r>
          </w:p>
        </w:tc>
        <w:tc>
          <w:tcPr>
            <w:tcW w:w="1233" w:type="pct"/>
            <w:tcBorders>
              <w:top w:val="single" w:sz="4" w:space="0" w:color="auto"/>
            </w:tcBorders>
            <w:shd w:val="clear" w:color="auto" w:fill="FFFFFF"/>
          </w:tcPr>
          <w:p w14:paraId="62AB4702" w14:textId="77777777" w:rsidR="007260E2" w:rsidRPr="000B0A47" w:rsidRDefault="000B0A47" w:rsidP="00A373FD">
            <w:pPr>
              <w:ind w:left="36" w:right="36"/>
              <w:rPr>
                <w:color w:val="auto"/>
                <w:sz w:val="20"/>
              </w:rPr>
            </w:pPr>
            <w:r w:rsidRPr="000B0A47">
              <w:rPr>
                <w:color w:val="auto"/>
                <w:sz w:val="20"/>
              </w:rPr>
              <w:t>0,12%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shd w:val="clear" w:color="auto" w:fill="FFFFFF"/>
          </w:tcPr>
          <w:p w14:paraId="5FD01288" w14:textId="77777777" w:rsidR="007260E2" w:rsidRPr="000B0A47" w:rsidRDefault="000B0A47" w:rsidP="00A373FD">
            <w:pPr>
              <w:ind w:left="36" w:right="36"/>
              <w:rPr>
                <w:color w:val="auto"/>
                <w:sz w:val="20"/>
              </w:rPr>
            </w:pPr>
            <w:r w:rsidRPr="000B0A47">
              <w:rPr>
                <w:color w:val="auto"/>
                <w:sz w:val="20"/>
              </w:rPr>
              <w:t>0,12%</w:t>
            </w:r>
          </w:p>
        </w:tc>
      </w:tr>
    </w:tbl>
    <w:p w14:paraId="2EA6449D" w14:textId="77777777" w:rsidR="007260E2" w:rsidRPr="000B0A47" w:rsidRDefault="000B0A47" w:rsidP="00A373FD">
      <w:pPr>
        <w:spacing w:before="240"/>
        <w:jc w:val="both"/>
        <w:rPr>
          <w:sz w:val="20"/>
        </w:rPr>
      </w:pPr>
      <w:r w:rsidRPr="000B0A47">
        <w:rPr>
          <w:b/>
          <w:sz w:val="20"/>
        </w:rPr>
        <w:t>Tabela 2: struktura kosztów</w:t>
      </w:r>
    </w:p>
    <w:p w14:paraId="3BA314A6" w14:textId="77777777" w:rsidR="007260E2" w:rsidRPr="000B0A47" w:rsidRDefault="000B0A47" w:rsidP="00A373FD">
      <w:pPr>
        <w:spacing w:before="240"/>
        <w:jc w:val="both"/>
        <w:rPr>
          <w:sz w:val="20"/>
        </w:rPr>
      </w:pPr>
      <w:r w:rsidRPr="000B0A47">
        <w:rPr>
          <w:sz w:val="20"/>
        </w:rPr>
        <w:t>Poniższa tabela przedstawia:</w:t>
      </w:r>
    </w:p>
    <w:p w14:paraId="7A5C076E" w14:textId="77777777" w:rsidR="007260E2" w:rsidRPr="000B0A47" w:rsidRDefault="000B0A47" w:rsidP="00600484">
      <w:pPr>
        <w:spacing w:before="240"/>
        <w:ind w:left="284" w:hanging="284"/>
        <w:jc w:val="both"/>
        <w:rPr>
          <w:sz w:val="20"/>
        </w:rPr>
      </w:pPr>
      <w:r w:rsidRPr="000B0A47">
        <w:rPr>
          <w:sz w:val="20"/>
        </w:rPr>
        <w:t>•</w:t>
      </w:r>
      <w:r w:rsidRPr="000B0A47">
        <w:rPr>
          <w:sz w:val="20"/>
        </w:rPr>
        <w:tab/>
        <w:t>coroczny wpływ różnych rodzajów kosztów na potencjalny zwrot z inwestycji na koniec zalecanego okresu posiadania.</w:t>
      </w:r>
    </w:p>
    <w:p w14:paraId="37961314" w14:textId="77777777" w:rsidR="007260E2" w:rsidRPr="000B0A47" w:rsidRDefault="000B0A47" w:rsidP="00600484">
      <w:pPr>
        <w:spacing w:after="240"/>
        <w:ind w:left="284" w:hanging="284"/>
        <w:jc w:val="both"/>
        <w:rPr>
          <w:sz w:val="20"/>
        </w:rPr>
      </w:pPr>
      <w:r w:rsidRPr="000B0A47">
        <w:rPr>
          <w:sz w:val="20"/>
        </w:rPr>
        <w:t>•</w:t>
      </w:r>
      <w:r w:rsidRPr="000B0A47">
        <w:rPr>
          <w:sz w:val="20"/>
        </w:rPr>
        <w:tab/>
        <w:t>znaczenie różnych kategorii kosztów.</w:t>
      </w:r>
    </w:p>
    <w:tbl>
      <w:tblPr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2302"/>
        <w:gridCol w:w="728"/>
        <w:gridCol w:w="4807"/>
      </w:tblGrid>
      <w:tr w:rsidR="007260E2" w:rsidRPr="000B0A47" w14:paraId="0DD4ABC1" w14:textId="77777777" w:rsidTr="00600484">
        <w:tc>
          <w:tcPr>
            <w:tcW w:w="983" w:type="pct"/>
            <w:tcBorders>
              <w:top w:val="single" w:sz="4" w:space="0" w:color="auto"/>
            </w:tcBorders>
            <w:shd w:val="clear" w:color="auto" w:fill="FFFFFF"/>
          </w:tcPr>
          <w:p w14:paraId="1366B385" w14:textId="77777777" w:rsidR="007260E2" w:rsidRPr="000B0A47" w:rsidRDefault="000B0A47" w:rsidP="00A373FD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Koszty jednorazowe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FFFFFF"/>
          </w:tcPr>
          <w:p w14:paraId="6601B335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Koszty wejścia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FFFFF"/>
          </w:tcPr>
          <w:p w14:paraId="6A44D370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0,00%</w:t>
            </w:r>
          </w:p>
        </w:tc>
        <w:tc>
          <w:tcPr>
            <w:tcW w:w="2464" w:type="pct"/>
            <w:tcBorders>
              <w:top w:val="single" w:sz="4" w:space="0" w:color="auto"/>
            </w:tcBorders>
            <w:shd w:val="clear" w:color="auto" w:fill="FFFFFF"/>
          </w:tcPr>
          <w:p w14:paraId="6D70720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Wpływ kosztów ponoszonych przy rozpoczęciu inwestycji. To maksymalna kwota ponoszona przez inwestora, która w rzeczywistości może być niższa.</w:t>
            </w:r>
          </w:p>
        </w:tc>
      </w:tr>
      <w:tr w:rsidR="007260E2" w:rsidRPr="000B0A47" w14:paraId="0025D15D" w14:textId="77777777" w:rsidTr="00A373FD">
        <w:tc>
          <w:tcPr>
            <w:tcW w:w="983" w:type="pct"/>
            <w:shd w:val="clear" w:color="auto" w:fill="FFFFFF"/>
          </w:tcPr>
          <w:p w14:paraId="32CDB9CB" w14:textId="77777777" w:rsidR="007260E2" w:rsidRPr="000B0A47" w:rsidRDefault="007260E2" w:rsidP="00A373FD">
            <w:pPr>
              <w:ind w:left="36" w:right="36"/>
              <w:rPr>
                <w:color w:val="C45911" w:themeColor="accent2" w:themeShade="BF"/>
                <w:sz w:val="20"/>
                <w:szCs w:val="10"/>
              </w:rPr>
            </w:pPr>
          </w:p>
        </w:tc>
        <w:tc>
          <w:tcPr>
            <w:tcW w:w="1180" w:type="pct"/>
            <w:shd w:val="clear" w:color="auto" w:fill="FFFFFF"/>
          </w:tcPr>
          <w:p w14:paraId="195D80C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Koszty wyjścia</w:t>
            </w:r>
          </w:p>
        </w:tc>
        <w:tc>
          <w:tcPr>
            <w:tcW w:w="373" w:type="pct"/>
            <w:shd w:val="clear" w:color="auto" w:fill="FFFFFF"/>
          </w:tcPr>
          <w:p w14:paraId="3323336E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0,00%</w:t>
            </w:r>
          </w:p>
        </w:tc>
        <w:tc>
          <w:tcPr>
            <w:tcW w:w="2464" w:type="pct"/>
            <w:shd w:val="clear" w:color="auto" w:fill="FFFFFF"/>
          </w:tcPr>
          <w:p w14:paraId="6878DF92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Wpływ kosztów wyjścia z inwestycji w terminie zapadalności.</w:t>
            </w:r>
          </w:p>
        </w:tc>
      </w:tr>
      <w:tr w:rsidR="007260E2" w:rsidRPr="000B0A47" w14:paraId="245758FD" w14:textId="77777777" w:rsidTr="00A373FD">
        <w:tc>
          <w:tcPr>
            <w:tcW w:w="983" w:type="pct"/>
            <w:tcBorders>
              <w:top w:val="single" w:sz="4" w:space="0" w:color="auto"/>
            </w:tcBorders>
            <w:shd w:val="clear" w:color="auto" w:fill="FFFFFF"/>
          </w:tcPr>
          <w:p w14:paraId="45DD90C9" w14:textId="77777777" w:rsidR="007260E2" w:rsidRPr="000B0A47" w:rsidRDefault="000B0A47" w:rsidP="00A373FD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Koszty powtarzające się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FFFFFF"/>
          </w:tcPr>
          <w:p w14:paraId="60084B1B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Koszty transakcji portfelowych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FFFFF"/>
          </w:tcPr>
          <w:p w14:paraId="39363C1A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0,00%</w:t>
            </w:r>
          </w:p>
        </w:tc>
        <w:tc>
          <w:tcPr>
            <w:tcW w:w="2464" w:type="pct"/>
            <w:tcBorders>
              <w:top w:val="single" w:sz="4" w:space="0" w:color="auto"/>
            </w:tcBorders>
            <w:shd w:val="clear" w:color="auto" w:fill="FFFFFF"/>
          </w:tcPr>
          <w:p w14:paraId="70AC7D7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Wpływ kosztów kupna i sprzedaży inwestycji bazowych do celów produktu.</w:t>
            </w:r>
          </w:p>
        </w:tc>
      </w:tr>
      <w:tr w:rsidR="007260E2" w:rsidRPr="000B0A47" w14:paraId="7D1C84B0" w14:textId="77777777" w:rsidTr="00A373FD">
        <w:tc>
          <w:tcPr>
            <w:tcW w:w="983" w:type="pct"/>
            <w:shd w:val="clear" w:color="auto" w:fill="FFFFFF"/>
          </w:tcPr>
          <w:p w14:paraId="45FDB275" w14:textId="77777777" w:rsidR="007260E2" w:rsidRPr="000B0A47" w:rsidRDefault="007260E2" w:rsidP="00A373FD">
            <w:pPr>
              <w:ind w:left="36" w:right="36"/>
              <w:rPr>
                <w:color w:val="C45911" w:themeColor="accent2" w:themeShade="BF"/>
                <w:sz w:val="20"/>
                <w:szCs w:val="10"/>
              </w:rPr>
            </w:pPr>
          </w:p>
        </w:tc>
        <w:tc>
          <w:tcPr>
            <w:tcW w:w="1180" w:type="pct"/>
            <w:shd w:val="clear" w:color="auto" w:fill="FFFFFF"/>
          </w:tcPr>
          <w:p w14:paraId="30B41676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Pozostałe koszty ponoszone stale</w:t>
            </w:r>
          </w:p>
        </w:tc>
        <w:tc>
          <w:tcPr>
            <w:tcW w:w="373" w:type="pct"/>
            <w:shd w:val="clear" w:color="auto" w:fill="FFFFFF"/>
          </w:tcPr>
          <w:p w14:paraId="07CE6C2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0,12%</w:t>
            </w:r>
          </w:p>
        </w:tc>
        <w:tc>
          <w:tcPr>
            <w:tcW w:w="2464" w:type="pct"/>
            <w:shd w:val="clear" w:color="auto" w:fill="FFFFFF"/>
          </w:tcPr>
          <w:p w14:paraId="15190D36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Wpływ kosztów potrącanych przez nas co roku za zarządzanie inwestycją.</w:t>
            </w:r>
          </w:p>
        </w:tc>
      </w:tr>
      <w:tr w:rsidR="007260E2" w:rsidRPr="000B0A47" w14:paraId="4BDE96E1" w14:textId="77777777" w:rsidTr="00A373FD">
        <w:tc>
          <w:tcPr>
            <w:tcW w:w="983" w:type="pct"/>
            <w:tcBorders>
              <w:top w:val="single" w:sz="4" w:space="0" w:color="auto"/>
            </w:tcBorders>
            <w:shd w:val="clear" w:color="auto" w:fill="FFFFFF"/>
          </w:tcPr>
          <w:p w14:paraId="4A1B5D5B" w14:textId="77777777" w:rsidR="007260E2" w:rsidRPr="000B0A47" w:rsidRDefault="007260E2" w:rsidP="00A373FD">
            <w:pPr>
              <w:ind w:left="36" w:right="36"/>
              <w:rPr>
                <w:color w:val="C45911" w:themeColor="accent2" w:themeShade="BF"/>
                <w:sz w:val="20"/>
                <w:szCs w:val="10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FFFFFF"/>
          </w:tcPr>
          <w:p w14:paraId="16D94AF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Opłata za wyniki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FFFFF"/>
          </w:tcPr>
          <w:p w14:paraId="291ED16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0,00%</w:t>
            </w:r>
          </w:p>
        </w:tc>
        <w:tc>
          <w:tcPr>
            <w:tcW w:w="2464" w:type="pct"/>
            <w:tcBorders>
              <w:top w:val="single" w:sz="4" w:space="0" w:color="auto"/>
            </w:tcBorders>
            <w:shd w:val="clear" w:color="auto" w:fill="FFFFFF"/>
          </w:tcPr>
          <w:p w14:paraId="1E555D07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Opłata za wyniki nie ma zastosowania do tego produktu.</w:t>
            </w:r>
          </w:p>
        </w:tc>
      </w:tr>
      <w:tr w:rsidR="007260E2" w:rsidRPr="000B0A47" w14:paraId="3F4CD453" w14:textId="77777777" w:rsidTr="00A373FD">
        <w:tc>
          <w:tcPr>
            <w:tcW w:w="983" w:type="pct"/>
            <w:tcBorders>
              <w:bottom w:val="single" w:sz="4" w:space="0" w:color="auto"/>
            </w:tcBorders>
            <w:shd w:val="clear" w:color="auto" w:fill="FFFFFF"/>
          </w:tcPr>
          <w:p w14:paraId="354F1E90" w14:textId="77777777" w:rsidR="007260E2" w:rsidRPr="000B0A47" w:rsidRDefault="000B0A47" w:rsidP="00A373FD">
            <w:pPr>
              <w:ind w:left="36" w:right="36"/>
              <w:rPr>
                <w:color w:val="C45911" w:themeColor="accent2" w:themeShade="BF"/>
                <w:sz w:val="20"/>
              </w:rPr>
            </w:pPr>
            <w:r w:rsidRPr="000B0A47">
              <w:rPr>
                <w:b/>
                <w:color w:val="C45911" w:themeColor="accent2" w:themeShade="BF"/>
                <w:sz w:val="20"/>
              </w:rPr>
              <w:t>Koszty dodatkowe</w:t>
            </w: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FFFFFF"/>
          </w:tcPr>
          <w:p w14:paraId="37545893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Wynagrodzenie dodatkowe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/>
          </w:tcPr>
          <w:p w14:paraId="39D6C636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0,00%</w:t>
            </w:r>
          </w:p>
        </w:tc>
        <w:tc>
          <w:tcPr>
            <w:tcW w:w="2464" w:type="pct"/>
            <w:tcBorders>
              <w:bottom w:val="single" w:sz="4" w:space="0" w:color="auto"/>
            </w:tcBorders>
            <w:shd w:val="clear" w:color="auto" w:fill="FFFFFF"/>
          </w:tcPr>
          <w:p w14:paraId="7F7ED20A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Wynagrodzenie dodatkowe nie ma zastosowania do tego produktu.</w:t>
            </w:r>
          </w:p>
        </w:tc>
      </w:tr>
    </w:tbl>
    <w:p w14:paraId="017A5663" w14:textId="77777777" w:rsidR="007260E2" w:rsidRPr="000B0A47" w:rsidRDefault="007260E2" w:rsidP="00A373FD">
      <w:pPr>
        <w:spacing w:before="240"/>
        <w:jc w:val="both"/>
        <w:rPr>
          <w:sz w:val="20"/>
        </w:rPr>
      </w:pPr>
    </w:p>
    <w:tbl>
      <w:tblPr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5"/>
      </w:tblGrid>
      <w:tr w:rsidR="007260E2" w:rsidRPr="000B0A47" w14:paraId="22533FF3" w14:textId="77777777" w:rsidTr="0060048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50CC76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Ile czasu powinienem posiadać produkt i czy mogę wcześniej wypłacić pieniądze?</w:t>
            </w:r>
          </w:p>
          <w:tbl>
            <w:tblPr>
              <w:tblStyle w:val="Tabela-Siatka"/>
              <w:tblW w:w="0" w:type="auto"/>
              <w:tblInd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D7D31" w:themeFill="accent2"/>
              <w:tblLook w:val="04A0" w:firstRow="1" w:lastRow="0" w:firstColumn="1" w:lastColumn="0" w:noHBand="0" w:noVBand="1"/>
            </w:tblPr>
            <w:tblGrid>
              <w:gridCol w:w="9719"/>
            </w:tblGrid>
            <w:tr w:rsidR="00600484" w:rsidRPr="000B0A47" w14:paraId="40B2D9D5" w14:textId="77777777" w:rsidTr="00600484">
              <w:tc>
                <w:tcPr>
                  <w:tcW w:w="9745" w:type="dxa"/>
                  <w:shd w:val="clear" w:color="auto" w:fill="ED7D31" w:themeFill="accent2"/>
                </w:tcPr>
                <w:p w14:paraId="72CD1530" w14:textId="77777777" w:rsidR="00600484" w:rsidRPr="000B0A47" w:rsidRDefault="00600484" w:rsidP="00F86EE4">
                  <w:pPr>
                    <w:rPr>
                      <w:sz w:val="20"/>
                    </w:rPr>
                  </w:pPr>
                  <w:r w:rsidRPr="000B0A47">
                    <w:rPr>
                      <w:b/>
                      <w:sz w:val="20"/>
                    </w:rPr>
                    <w:t>Zalecany okres posiadania: 5 lat</w:t>
                  </w:r>
                </w:p>
              </w:tc>
            </w:tr>
          </w:tbl>
          <w:p w14:paraId="0C3C53BD" w14:textId="77777777" w:rsidR="007260E2" w:rsidRPr="000B0A47" w:rsidRDefault="000B0A47" w:rsidP="00600484">
            <w:pPr>
              <w:spacing w:before="240"/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Ta klasa akcji nie posiada wymaganego minimalnego okresu posiadania, jakkolwiek wybraliśmy 5 lat jako zalecany okres posiadania, ponieważ inwestuje się w nią długoterminowo. Inwestor powinien być zatem przygotowany na co najmniej pięcioletnią inwestycję.</w:t>
            </w:r>
          </w:p>
          <w:p w14:paraId="0165329C" w14:textId="77777777" w:rsidR="007260E2" w:rsidRPr="000B0A47" w:rsidRDefault="000B0A47" w:rsidP="00600484">
            <w:pPr>
              <w:spacing w:before="240"/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Inwestor może sprzedać swoje akcje w ramach tej klasy podczas tego okresu z zastrzeżeniem spełnienia pewnych kryteriów określonych w prospekcie emisyjnym lub posiadać swoją inwestycję dłużej. Jeżeli inwestor sprzeda część lub całość swojej inwestycji przed upływem 5 lat, osiągnięcie celów dotyczących tej klasy akcji będzie mniej prawdopodobne, nie będzie się to jednak wiązać z żadnymi dodatkowymi kosztami.</w:t>
            </w:r>
          </w:p>
        </w:tc>
      </w:tr>
      <w:tr w:rsidR="007260E2" w:rsidRPr="000B0A47" w14:paraId="0286991D" w14:textId="77777777" w:rsidTr="00600484"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14:paraId="6EC9065F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Jak mogę złożyć skargę?</w:t>
            </w:r>
          </w:p>
          <w:p w14:paraId="31065F97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sz w:val="20"/>
              </w:rPr>
              <w:t>Wszelkie skargi i reklamacje dotyczące produktu lub postępowania jego twórcy lub osoby doradzającej w zakresie produktu lub sprzedającej go inwestor może zgłosić w jeden z następujących trzech sposobów:</w:t>
            </w:r>
          </w:p>
          <w:p w14:paraId="5C8DE378" w14:textId="77777777" w:rsidR="007260E2" w:rsidRPr="000B0A47" w:rsidRDefault="000B0A47" w:rsidP="00600484">
            <w:pPr>
              <w:ind w:left="426" w:right="36" w:hanging="390"/>
              <w:rPr>
                <w:sz w:val="20"/>
              </w:rPr>
            </w:pPr>
            <w:r w:rsidRPr="000B0A47">
              <w:rPr>
                <w:sz w:val="20"/>
              </w:rPr>
              <w:t>(1)</w:t>
            </w:r>
            <w:r w:rsidRPr="000B0A47">
              <w:rPr>
                <w:sz w:val="20"/>
              </w:rPr>
              <w:tab/>
              <w:t>telefonicznie na numer: +44 020 3370 1100; zarejestrujemy wówczas zgłoszenie i wyjaśnimy, jakie kroki należy podjąć.</w:t>
            </w:r>
          </w:p>
          <w:p w14:paraId="4A5C549A" w14:textId="41FC2044" w:rsidR="007260E2" w:rsidRPr="000B0A47" w:rsidRDefault="000B0A47" w:rsidP="00600484">
            <w:pPr>
              <w:ind w:left="426" w:right="36" w:hanging="390"/>
              <w:rPr>
                <w:sz w:val="20"/>
              </w:rPr>
            </w:pPr>
            <w:r w:rsidRPr="000B0A47">
              <w:rPr>
                <w:sz w:val="20"/>
              </w:rPr>
              <w:t>(2)</w:t>
            </w:r>
            <w:r w:rsidRPr="000B0A47">
              <w:rPr>
                <w:sz w:val="20"/>
              </w:rPr>
              <w:tab/>
              <w:t xml:space="preserve">za pomocą poczty elektronicznej na adres </w:t>
            </w:r>
            <w:hyperlink r:id="rId10" w:history="1">
              <w:r w:rsidRPr="000B0A47">
                <w:rPr>
                  <w:sz w:val="20"/>
                </w:rPr>
                <w:t>Legaletf@invesco.com</w:t>
              </w:r>
            </w:hyperlink>
          </w:p>
          <w:p w14:paraId="532661E6" w14:textId="77777777" w:rsidR="007260E2" w:rsidRPr="000B0A47" w:rsidRDefault="000B0A47" w:rsidP="00600484">
            <w:pPr>
              <w:ind w:left="426" w:right="36" w:hanging="390"/>
              <w:rPr>
                <w:sz w:val="20"/>
              </w:rPr>
            </w:pPr>
            <w:r w:rsidRPr="000B0A47">
              <w:rPr>
                <w:sz w:val="20"/>
              </w:rPr>
              <w:t>(3)</w:t>
            </w:r>
            <w:r w:rsidRPr="000B0A47">
              <w:rPr>
                <w:sz w:val="20"/>
              </w:rPr>
              <w:tab/>
              <w:t xml:space="preserve">pocztą na adres korespondencyjny: ETF </w:t>
            </w:r>
            <w:proofErr w:type="spellStart"/>
            <w:r w:rsidRPr="000B0A47">
              <w:rPr>
                <w:sz w:val="20"/>
              </w:rPr>
              <w:t>Legal</w:t>
            </w:r>
            <w:proofErr w:type="spellEnd"/>
            <w:r w:rsidRPr="000B0A47">
              <w:rPr>
                <w:sz w:val="20"/>
              </w:rPr>
              <w:t xml:space="preserve"> </w:t>
            </w:r>
            <w:proofErr w:type="spellStart"/>
            <w:r w:rsidRPr="000B0A47">
              <w:rPr>
                <w:sz w:val="20"/>
              </w:rPr>
              <w:t>Department</w:t>
            </w:r>
            <w:proofErr w:type="spellEnd"/>
            <w:r w:rsidRPr="000B0A47">
              <w:rPr>
                <w:sz w:val="20"/>
              </w:rPr>
              <w:t xml:space="preserve">, </w:t>
            </w:r>
            <w:proofErr w:type="spellStart"/>
            <w:r w:rsidRPr="000B0A47">
              <w:rPr>
                <w:sz w:val="20"/>
              </w:rPr>
              <w:t>Invesco</w:t>
            </w:r>
            <w:proofErr w:type="spellEnd"/>
            <w:r w:rsidRPr="000B0A47">
              <w:rPr>
                <w:sz w:val="20"/>
              </w:rPr>
              <w:t xml:space="preserve">, </w:t>
            </w:r>
            <w:proofErr w:type="spellStart"/>
            <w:r w:rsidRPr="000B0A47">
              <w:rPr>
                <w:sz w:val="20"/>
              </w:rPr>
              <w:t>Portman</w:t>
            </w:r>
            <w:proofErr w:type="spellEnd"/>
            <w:r w:rsidRPr="000B0A47">
              <w:rPr>
                <w:sz w:val="20"/>
              </w:rPr>
              <w:t xml:space="preserve"> </w:t>
            </w:r>
            <w:proofErr w:type="spellStart"/>
            <w:r w:rsidRPr="000B0A47">
              <w:rPr>
                <w:sz w:val="20"/>
              </w:rPr>
              <w:t>Square</w:t>
            </w:r>
            <w:proofErr w:type="spellEnd"/>
            <w:r w:rsidRPr="000B0A47">
              <w:rPr>
                <w:sz w:val="20"/>
              </w:rPr>
              <w:t xml:space="preserve"> House, 43-45 </w:t>
            </w:r>
            <w:proofErr w:type="spellStart"/>
            <w:r w:rsidRPr="000B0A47">
              <w:rPr>
                <w:sz w:val="20"/>
              </w:rPr>
              <w:t>Portman</w:t>
            </w:r>
            <w:proofErr w:type="spellEnd"/>
            <w:r w:rsidRPr="000B0A47">
              <w:rPr>
                <w:sz w:val="20"/>
              </w:rPr>
              <w:t xml:space="preserve"> </w:t>
            </w:r>
            <w:proofErr w:type="spellStart"/>
            <w:r w:rsidRPr="000B0A47">
              <w:rPr>
                <w:sz w:val="20"/>
              </w:rPr>
              <w:t>Square</w:t>
            </w:r>
            <w:proofErr w:type="spellEnd"/>
            <w:r w:rsidRPr="000B0A47">
              <w:rPr>
                <w:sz w:val="20"/>
              </w:rPr>
              <w:t>, London W1H 6LY, UK (Wielka Brytania).</w:t>
            </w:r>
          </w:p>
        </w:tc>
      </w:tr>
      <w:tr w:rsidR="007260E2" w:rsidRPr="000B0A47" w14:paraId="191C73B4" w14:textId="77777777" w:rsidTr="00A373FD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AC97E0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>Inne istotne informacje</w:t>
            </w:r>
          </w:p>
          <w:p w14:paraId="784B118A" w14:textId="77777777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 xml:space="preserve">Informacje dodatkowe: </w:t>
            </w:r>
            <w:r w:rsidRPr="000B0A47">
              <w:rPr>
                <w:sz w:val="20"/>
              </w:rPr>
              <w:t>Jesteśmy zobowiązani do dostarczania inwestorowi informacji dodatkowych, takich jak prospekt emisyjny, najnowszy raport roczny i późniejsze raporty okresowe. Te dokumenty i inne praktyczne informacje są dostępne bezpłatnie pod adresem etf.invesco.com (proszę wybrać swój kraj i przejść do Biblioteki).</w:t>
            </w:r>
          </w:p>
          <w:p w14:paraId="72ECCF90" w14:textId="32D60E0C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 xml:space="preserve">Wyniki historyczne: </w:t>
            </w:r>
            <w:r w:rsidRPr="000B0A47">
              <w:rPr>
                <w:sz w:val="20"/>
              </w:rPr>
              <w:t xml:space="preserve">Wyniki historyczne tej klasy akcji obejmujące okres od wprowadzenia ich do obrotu, nie więcej jednak niż za ostatnie 10 lat, można przeglądać w naszej witrynie internetowej pod adresem </w:t>
            </w:r>
            <w:hyperlink r:id="rId11" w:history="1">
              <w:r w:rsidRPr="000B0A47">
                <w:rPr>
                  <w:sz w:val="20"/>
                </w:rPr>
                <w:t>https://www.invesco.com/emea/en/priips.html</w:t>
              </w:r>
            </w:hyperlink>
            <w:r w:rsidRPr="000B0A47">
              <w:rPr>
                <w:sz w:val="20"/>
              </w:rPr>
              <w:t>.</w:t>
            </w:r>
          </w:p>
          <w:p w14:paraId="01E3BED4" w14:textId="7C5B7CC6" w:rsidR="007260E2" w:rsidRPr="000B0A47" w:rsidRDefault="000B0A47" w:rsidP="00A373FD">
            <w:pPr>
              <w:ind w:left="36" w:right="36"/>
              <w:rPr>
                <w:sz w:val="20"/>
              </w:rPr>
            </w:pPr>
            <w:r w:rsidRPr="000B0A47">
              <w:rPr>
                <w:b/>
                <w:sz w:val="20"/>
              </w:rPr>
              <w:t xml:space="preserve">Historyczne scenariusze wyników: </w:t>
            </w:r>
            <w:r w:rsidRPr="000B0A47">
              <w:rPr>
                <w:sz w:val="20"/>
              </w:rPr>
              <w:t xml:space="preserve">Historyczne scenariusze wyników tej klasy akcji za ostatnie 12 miesięcy można przeglądać w naszej witrynie internetowej pod adresem </w:t>
            </w:r>
            <w:hyperlink r:id="rId12" w:history="1">
              <w:r w:rsidRPr="000B0A47">
                <w:rPr>
                  <w:sz w:val="20"/>
                </w:rPr>
                <w:t>https://www.invesco.com/emea/en/priips.html</w:t>
              </w:r>
            </w:hyperlink>
            <w:r w:rsidRPr="000B0A47">
              <w:rPr>
                <w:sz w:val="20"/>
              </w:rPr>
              <w:t>.</w:t>
            </w:r>
          </w:p>
        </w:tc>
      </w:tr>
    </w:tbl>
    <w:p w14:paraId="738F8C11" w14:textId="77777777" w:rsidR="00073B22" w:rsidRPr="000B0A47" w:rsidRDefault="00073B22" w:rsidP="00A373FD">
      <w:pPr>
        <w:spacing w:before="240"/>
        <w:jc w:val="both"/>
        <w:rPr>
          <w:sz w:val="20"/>
        </w:rPr>
      </w:pPr>
    </w:p>
    <w:sectPr w:rsidR="00073B22" w:rsidRPr="000B0A47" w:rsidSect="00A373F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9" w:h="16840"/>
      <w:pgMar w:top="1440" w:right="1077" w:bottom="1440" w:left="1077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04DA" w14:textId="77777777" w:rsidR="00073B22" w:rsidRDefault="00073B22">
      <w:r>
        <w:separator/>
      </w:r>
    </w:p>
  </w:endnote>
  <w:endnote w:type="continuationSeparator" w:id="0">
    <w:p w14:paraId="30A1B5D7" w14:textId="77777777" w:rsidR="00073B22" w:rsidRDefault="0007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6A335" w14:textId="7C054A4E" w:rsidR="00A373FD" w:rsidRPr="00A373FD" w:rsidRDefault="00A373FD" w:rsidP="00A373FD">
    <w:pPr>
      <w:pStyle w:val="Stopka"/>
      <w:jc w:val="right"/>
      <w:rPr>
        <w:sz w:val="20"/>
        <w:szCs w:val="20"/>
      </w:rPr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F6952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3F6952">
      <w:rPr>
        <w:noProof/>
        <w:sz w:val="20"/>
      </w:rPr>
      <w:t>4</w:t>
    </w:r>
    <w:r>
      <w:rPr>
        <w:sz w:val="20"/>
      </w:rPr>
      <w:fldChar w:fldCharType="end"/>
    </w:r>
  </w:p>
  <w:p w14:paraId="31FC1D34" w14:textId="77777777" w:rsidR="00A373FD" w:rsidRDefault="00A373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3502" w14:textId="2B7281E6" w:rsidR="00A373FD" w:rsidRPr="00A373FD" w:rsidRDefault="00A373FD" w:rsidP="00A373FD">
    <w:pPr>
      <w:pStyle w:val="Stopka"/>
      <w:jc w:val="right"/>
      <w:rPr>
        <w:sz w:val="20"/>
        <w:szCs w:val="20"/>
      </w:rPr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F6952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3F6952">
      <w:rPr>
        <w:noProof/>
        <w:sz w:val="20"/>
      </w:rPr>
      <w:t>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B1DAA" w14:textId="77777777" w:rsidR="00073B22" w:rsidRDefault="00073B22"/>
  </w:footnote>
  <w:footnote w:type="continuationSeparator" w:id="0">
    <w:p w14:paraId="61AA7565" w14:textId="77777777" w:rsidR="00073B22" w:rsidRDefault="00073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5000" w:type="pct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2722"/>
      <w:gridCol w:w="7033"/>
    </w:tblGrid>
    <w:tr w:rsidR="00A373FD" w:rsidRPr="00A373FD" w14:paraId="7C466EC0" w14:textId="77777777" w:rsidTr="001207F4">
      <w:tc>
        <w:tcPr>
          <w:tcW w:w="1395" w:type="pct"/>
          <w:shd w:val="clear" w:color="auto" w:fill="FFFFFF"/>
        </w:tcPr>
        <w:p w14:paraId="3418382B" w14:textId="77777777" w:rsidR="00A373FD" w:rsidRPr="00A373FD" w:rsidRDefault="00A373FD" w:rsidP="00A373FD">
          <w:pPr>
            <w:ind w:left="36" w:right="36"/>
            <w:rPr>
              <w:sz w:val="20"/>
            </w:rPr>
          </w:pPr>
          <w:r>
            <w:rPr>
              <w:noProof/>
              <w:sz w:val="20"/>
              <w:lang w:eastAsia="pl-PL" w:bidi="ar-SA"/>
            </w:rPr>
            <w:drawing>
              <wp:inline distT="0" distB="0" distL="0" distR="0" wp14:anchorId="3513C159" wp14:editId="51ED4813">
                <wp:extent cx="943107" cy="695422"/>
                <wp:effectExtent l="0" t="0" r="9525" b="9525"/>
                <wp:docPr id="1410994388" name="Obraz 1410994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66216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107" cy="695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5" w:type="pct"/>
          <w:shd w:val="clear" w:color="auto" w:fill="FFFFFF"/>
        </w:tcPr>
        <w:p w14:paraId="5DFADEE9" w14:textId="16F2EB74" w:rsidR="00A373FD" w:rsidRPr="00A373FD" w:rsidRDefault="00A373FD" w:rsidP="00A373FD">
          <w:pPr>
            <w:ind w:left="36" w:right="36"/>
            <w:rPr>
              <w:sz w:val="20"/>
            </w:rPr>
          </w:pPr>
        </w:p>
      </w:tc>
    </w:tr>
  </w:tbl>
  <w:p w14:paraId="1A4D6E56" w14:textId="77777777" w:rsidR="00A373FD" w:rsidRDefault="00A37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5000" w:type="pct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2722"/>
      <w:gridCol w:w="7033"/>
    </w:tblGrid>
    <w:tr w:rsidR="00A373FD" w:rsidRPr="00A373FD" w14:paraId="4E02D3FA" w14:textId="77777777" w:rsidTr="00A373FD">
      <w:tc>
        <w:tcPr>
          <w:tcW w:w="1395" w:type="pct"/>
          <w:shd w:val="clear" w:color="auto" w:fill="FFFFFF"/>
        </w:tcPr>
        <w:p w14:paraId="3EFB6B76" w14:textId="77777777" w:rsidR="00A373FD" w:rsidRPr="00A373FD" w:rsidRDefault="00A373FD" w:rsidP="00A373FD">
          <w:pPr>
            <w:ind w:left="36" w:right="36"/>
            <w:rPr>
              <w:sz w:val="20"/>
            </w:rPr>
          </w:pPr>
          <w:r>
            <w:rPr>
              <w:noProof/>
              <w:sz w:val="20"/>
              <w:lang w:eastAsia="pl-PL" w:bidi="ar-SA"/>
            </w:rPr>
            <w:drawing>
              <wp:inline distT="0" distB="0" distL="0" distR="0" wp14:anchorId="5D8AF243" wp14:editId="367CE961">
                <wp:extent cx="943107" cy="695422"/>
                <wp:effectExtent l="0" t="0" r="9525" b="9525"/>
                <wp:docPr id="933006619" name="Obraz 9330066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66216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107" cy="695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5" w:type="pct"/>
          <w:shd w:val="clear" w:color="auto" w:fill="FFFFFF"/>
        </w:tcPr>
        <w:p w14:paraId="14F6EBC9" w14:textId="77777777" w:rsidR="003F6952" w:rsidRDefault="003F6952" w:rsidP="003F6952">
          <w:pPr>
            <w:pBdr>
              <w:bottom w:val="single" w:sz="4" w:space="1" w:color="auto"/>
            </w:pBdr>
            <w:spacing w:before="240"/>
            <w:jc w:val="both"/>
            <w:outlineLvl w:val="0"/>
            <w:rPr>
              <w:b/>
              <w:color w:val="FF0000"/>
              <w:sz w:val="12"/>
              <w:szCs w:val="12"/>
            </w:rPr>
          </w:pPr>
          <w:r>
            <w:rPr>
              <w:b/>
              <w:color w:val="FF0000"/>
              <w:sz w:val="12"/>
              <w:szCs w:val="12"/>
            </w:rPr>
            <w:t xml:space="preserve">Niniejszy dokument jest tłumaczeniem z języka angielskiego dokumentu zawierającego kluczowe informacje („KID") dokonanym dla BNP </w:t>
          </w:r>
          <w:proofErr w:type="spellStart"/>
          <w:r>
            <w:rPr>
              <w:b/>
              <w:color w:val="FF0000"/>
              <w:sz w:val="12"/>
              <w:szCs w:val="12"/>
            </w:rPr>
            <w:t>Paribas</w:t>
          </w:r>
          <w:proofErr w:type="spellEnd"/>
          <w:r>
            <w:rPr>
              <w:b/>
              <w:color w:val="FF0000"/>
              <w:sz w:val="12"/>
              <w:szCs w:val="12"/>
            </w:rPr>
            <w:t xml:space="preserve"> Bank Polska S.A. Wersja w języku angielskim, przygotowana przez emitenta, znajduje się na stronie internetowej emitenta jak i stronie www Biura Maklerskiego: Rachunek maklerski - BNP </w:t>
          </w:r>
          <w:proofErr w:type="spellStart"/>
          <w:r>
            <w:rPr>
              <w:b/>
              <w:color w:val="FF0000"/>
              <w:sz w:val="12"/>
              <w:szCs w:val="12"/>
            </w:rPr>
            <w:t>Paribas</w:t>
          </w:r>
          <w:proofErr w:type="spellEnd"/>
          <w:r>
            <w:rPr>
              <w:b/>
              <w:color w:val="FF0000"/>
              <w:sz w:val="12"/>
              <w:szCs w:val="12"/>
            </w:rPr>
            <w:t xml:space="preserve"> Bank Polska S.A.</w:t>
          </w:r>
        </w:p>
        <w:p w14:paraId="7F050118" w14:textId="77777777" w:rsidR="003F6952" w:rsidRDefault="003F6952" w:rsidP="00A373FD">
          <w:pPr>
            <w:ind w:left="36" w:right="36"/>
            <w:rPr>
              <w:b/>
              <w:sz w:val="20"/>
            </w:rPr>
          </w:pPr>
        </w:p>
        <w:p w14:paraId="4E56709F" w14:textId="16561234" w:rsidR="00A373FD" w:rsidRPr="00A373FD" w:rsidRDefault="00A373FD" w:rsidP="00A373FD">
          <w:pPr>
            <w:ind w:left="36" w:right="36"/>
            <w:rPr>
              <w:sz w:val="20"/>
            </w:rPr>
          </w:pPr>
          <w:r>
            <w:rPr>
              <w:b/>
              <w:sz w:val="20"/>
            </w:rPr>
            <w:t>Dokument zawierający kluczowe informacje</w:t>
          </w:r>
        </w:p>
        <w:p w14:paraId="652B6D09" w14:textId="77777777" w:rsidR="00A373FD" w:rsidRPr="00A373FD" w:rsidRDefault="00A373FD" w:rsidP="00A373FD">
          <w:pPr>
            <w:ind w:left="36" w:right="36"/>
            <w:rPr>
              <w:sz w:val="20"/>
            </w:rPr>
          </w:pPr>
          <w:r>
            <w:rPr>
              <w:b/>
              <w:sz w:val="20"/>
            </w:rPr>
            <w:t xml:space="preserve">Cel: </w:t>
          </w:r>
          <w:r>
            <w:rPr>
              <w:sz w:val="20"/>
            </w:rPr>
            <w:t>Poniższy dokument zawiera kluczowe informacje o danym produkcie inwestycyjnym. Nie jest to materiał marketingowy. Udzielenie tych informacji jest wymagane prawem, aby pomóc w zrozumieniu charakteru tego produktu inwestycyjnego oraz ryzyka, kosztów, potencjalnych zysków i strat z nim związanych, a także pomóc w porównywaniu go z innymi produktami.</w:t>
          </w:r>
        </w:p>
      </w:tc>
    </w:tr>
  </w:tbl>
  <w:p w14:paraId="052E32AE" w14:textId="77777777" w:rsidR="00A373FD" w:rsidRDefault="00A373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E2"/>
    <w:rsid w:val="00073B22"/>
    <w:rsid w:val="000B0A47"/>
    <w:rsid w:val="00152D5B"/>
    <w:rsid w:val="00363DAC"/>
    <w:rsid w:val="003F6952"/>
    <w:rsid w:val="00600484"/>
    <w:rsid w:val="007260E2"/>
    <w:rsid w:val="00A3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3F5C"/>
  <w15:docId w15:val="{35644D86-48B0-4844-B3FE-3F8FE6BF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-PL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73F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37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3FD"/>
    <w:rPr>
      <w:color w:val="000000"/>
    </w:rPr>
  </w:style>
  <w:style w:type="table" w:styleId="Tabela-Siatka">
    <w:name w:val="Table Grid"/>
    <w:basedOn w:val="Standardowy"/>
    <w:uiPriority w:val="39"/>
    <w:rsid w:val="0060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tf.invesco.com" TargetMode="External"/><Relationship Id="rId12" Type="http://schemas.openxmlformats.org/officeDocument/2006/relationships/hyperlink" Target="https://www.invesco.com/emea/en/priips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Invest@invesco.com" TargetMode="External"/><Relationship Id="rId11" Type="http://schemas.openxmlformats.org/officeDocument/2006/relationships/hyperlink" Target="https://www.invesco.com/emea/en/priips.html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Legaletf@invesco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PRIIPS_IE00B579F325_en_20230101_6_1_Invesco_Physical_Gold_ETC_504622</vt:lpstr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PRIIPS_IE00B579F325_en_20230101_6_1_Invesco_Physical_Gold_ETC_504622</dc:title>
  <dc:subject>PRIIPS</dc:subject>
  <dc:creator>FundAssist Ltd</dc:creator>
  <cp:keywords>Version=2.1; GeneratorContact=FCS_ClientandRegulatoryReporting@broadridge.com; DocumentType=PRP; PublicationCountry=GB; Language=en; ShareClass=IE00B579F325; Constraint=; RepShareClass=; RepShareClassCurrency=; DateOfPublication=2023-01-01; RecordDate=2023-01-01; ModificationDate=2023-01-01;</cp:keywords>
  <cp:lastModifiedBy>ŻURANIEWSKA Agnieszka</cp:lastModifiedBy>
  <cp:revision>3</cp:revision>
  <dcterms:created xsi:type="dcterms:W3CDTF">2023-11-23T14:14:00Z</dcterms:created>
  <dcterms:modified xsi:type="dcterms:W3CDTF">2023-11-23T15:05:00Z</dcterms:modified>
</cp:coreProperties>
</file>